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b/>
          <w:sz w:val="36"/>
          <w:szCs w:val="36"/>
        </w:rPr>
      </w:pPr>
      <w:r>
        <w:rPr>
          <w:rFonts w:hint="eastAsia" w:ascii="宋体" w:hAnsi="宋体" w:eastAsia="宋体" w:cs="宋体"/>
          <w:b/>
          <w:kern w:val="0"/>
          <w:sz w:val="36"/>
          <w:szCs w:val="36"/>
          <w:shd w:val="clear" w:color="auto" w:fill="FFFFFF"/>
        </w:rPr>
        <w:t>20</w:t>
      </w:r>
      <w:r>
        <w:rPr>
          <w:rFonts w:hint="eastAsia" w:ascii="宋体" w:hAnsi="宋体" w:eastAsia="宋体" w:cs="宋体"/>
          <w:b/>
          <w:kern w:val="0"/>
          <w:sz w:val="36"/>
          <w:szCs w:val="36"/>
          <w:shd w:val="clear" w:color="auto" w:fill="FFFFFF"/>
          <w:lang w:val="en-US" w:eastAsia="zh-CN"/>
        </w:rPr>
        <w:t>20</w:t>
      </w:r>
      <w:r>
        <w:rPr>
          <w:rFonts w:hint="eastAsia" w:ascii="宋体" w:hAnsi="宋体" w:eastAsia="宋体" w:cs="宋体"/>
          <w:b/>
          <w:kern w:val="0"/>
          <w:sz w:val="36"/>
          <w:szCs w:val="36"/>
          <w:shd w:val="clear" w:color="auto" w:fill="FFFFFF"/>
        </w:rPr>
        <w:t>年文昌市经济和社会发展综述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left="0" w:right="0"/>
        <w:jc w:val="center"/>
        <w:rPr>
          <w:rFonts w:hint="default" w:ascii="楷体_GB2312" w:hAnsi="微软雅黑" w:eastAsia="楷体_GB2312" w:cs="楷体_GB2312"/>
          <w:b w:val="0"/>
          <w:i w:val="0"/>
          <w:caps w:val="0"/>
          <w:color w:val="000000"/>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8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2020年，我市以习近平新时代中国特色社会主义思想为指导，在市委、市政府的坚强领导下，全市上下坚持新发展理念，</w:t>
      </w:r>
      <w:r>
        <w:rPr>
          <w:rStyle w:val="12"/>
          <w:rFonts w:hint="eastAsia" w:ascii="仿宋_GB2312" w:hAnsi="仿宋" w:eastAsia="仿宋_GB2312" w:cs="宋体"/>
          <w:sz w:val="32"/>
          <w:szCs w:val="32"/>
          <w:lang w:eastAsia="zh-CN"/>
        </w:rPr>
        <w:t>推进高质量发展，克服新冠肺炎疫情的巨大冲击，科学统筹疫情防控和经济社会发展</w:t>
      </w:r>
      <w:r>
        <w:rPr>
          <w:rFonts w:hint="eastAsia" w:ascii="仿宋_GB2312" w:eastAsia="仿宋_GB2312"/>
          <w:sz w:val="32"/>
          <w:szCs w:val="32"/>
          <w:lang w:eastAsia="zh-CN"/>
        </w:rPr>
        <w:t>。</w:t>
      </w:r>
      <w:r>
        <w:rPr>
          <w:rFonts w:hint="eastAsia" w:ascii="仿宋_GB2312" w:hAnsi="微软雅黑" w:eastAsia="仿宋_GB2312" w:cs="仿宋_GB2312"/>
          <w:b w:val="0"/>
          <w:i w:val="0"/>
          <w:caps w:val="0"/>
          <w:color w:val="000000"/>
          <w:spacing w:val="0"/>
          <w:kern w:val="0"/>
          <w:sz w:val="32"/>
          <w:szCs w:val="32"/>
          <w:lang w:val="en-US" w:eastAsia="zh-CN" w:bidi="ar"/>
        </w:rPr>
        <w:t>全市经济恢复稳定发展，质量效益不断提升，</w:t>
      </w:r>
      <w:r>
        <w:rPr>
          <w:rFonts w:hint="eastAsia" w:ascii="仿宋_GB2312" w:eastAsia="仿宋_GB2312"/>
          <w:sz w:val="32"/>
          <w:szCs w:val="32"/>
        </w:rPr>
        <w:t>海南文昌国际航天城</w:t>
      </w:r>
      <w:r>
        <w:rPr>
          <w:rFonts w:hint="eastAsia" w:ascii="仿宋_GB2312" w:eastAsia="仿宋_GB2312"/>
          <w:sz w:val="32"/>
          <w:szCs w:val="32"/>
          <w:lang w:eastAsia="zh-CN"/>
        </w:rPr>
        <w:t>建设前景良好。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80"/>
        <w:jc w:val="both"/>
        <w:rPr>
          <w:sz w:val="21"/>
          <w:szCs w:val="21"/>
        </w:rPr>
      </w:pPr>
      <w:r>
        <w:rPr>
          <w:rFonts w:ascii="黑体" w:hAnsi="宋体" w:eastAsia="黑体" w:cs="黑体"/>
          <w:b w:val="0"/>
          <w:i w:val="0"/>
          <w:caps w:val="0"/>
          <w:color w:val="000000"/>
          <w:spacing w:val="0"/>
          <w:kern w:val="0"/>
          <w:sz w:val="32"/>
          <w:szCs w:val="32"/>
          <w:lang w:val="en-US" w:eastAsia="zh-CN" w:bidi="ar"/>
        </w:rPr>
        <w:t>一、综合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80"/>
        <w:jc w:val="both"/>
        <w:rPr>
          <w:rFonts w:hint="eastAsia" w:ascii="仿宋_GB2312" w:hAnsi="微软雅黑" w:eastAsia="仿宋_GB2312" w:cs="仿宋_GB2312"/>
          <w:b/>
          <w:bCs/>
          <w:i w:val="0"/>
          <w:caps w:val="0"/>
          <w:color w:val="auto"/>
          <w:spacing w:val="0"/>
          <w:kern w:val="0"/>
          <w:sz w:val="32"/>
          <w:szCs w:val="32"/>
          <w:lang w:val="en-US" w:eastAsia="zh-CN" w:bidi="ar"/>
        </w:rPr>
      </w:pPr>
      <w:r>
        <w:rPr>
          <w:rFonts w:hint="eastAsia" w:ascii="仿宋_GB2312" w:hAnsi="仿宋_GB2312" w:eastAsia="仿宋_GB2312" w:cs="仿宋_GB2312"/>
          <w:color w:val="auto"/>
          <w:kern w:val="2"/>
          <w:sz w:val="32"/>
          <w:szCs w:val="32"/>
          <w:lang w:val="en-US" w:eastAsia="zh-CN" w:bidi="ar-SA"/>
        </w:rPr>
        <w:t>根据地区生产总值统</w:t>
      </w:r>
      <w:bookmarkStart w:id="0" w:name="_GoBack"/>
      <w:bookmarkEnd w:id="0"/>
      <w:r>
        <w:rPr>
          <w:rFonts w:hint="eastAsia" w:ascii="仿宋_GB2312" w:hAnsi="仿宋_GB2312" w:eastAsia="仿宋_GB2312" w:cs="仿宋_GB2312"/>
          <w:color w:val="auto"/>
          <w:kern w:val="2"/>
          <w:sz w:val="32"/>
          <w:szCs w:val="32"/>
          <w:lang w:val="en-US" w:eastAsia="zh-CN" w:bidi="ar-SA"/>
        </w:rPr>
        <w:t>一核算结果，2020年我市地区生产总值263.50亿元，按不变价格计算，比上年增长3.0%。分产业看，第一产业增加值90.60亿元，增长3.7%；第二产业增加值52.58亿元，增长4.2%；第三产业增加值120.32亿元，增长1.8%。</w:t>
      </w:r>
      <w:r>
        <w:rPr>
          <w:rFonts w:hint="eastAsia" w:ascii="仿宋_GB2312" w:eastAsia="仿宋_GB2312"/>
          <w:kern w:val="2"/>
          <w:sz w:val="32"/>
          <w:szCs w:val="32"/>
        </w:rPr>
        <w:t>三次产业结构</w:t>
      </w:r>
      <w:r>
        <w:rPr>
          <w:rFonts w:hint="eastAsia" w:ascii="仿宋_GB2312" w:eastAsia="仿宋_GB2312"/>
          <w:kern w:val="2"/>
          <w:sz w:val="32"/>
          <w:szCs w:val="32"/>
          <w:lang w:eastAsia="zh-CN"/>
        </w:rPr>
        <w:t>为</w:t>
      </w:r>
      <w:r>
        <w:rPr>
          <w:rFonts w:hint="eastAsia" w:ascii="仿宋_GB2312" w:eastAsia="仿宋_GB2312"/>
          <w:kern w:val="2"/>
          <w:sz w:val="32"/>
          <w:szCs w:val="32"/>
        </w:rPr>
        <w:t>34.</w:t>
      </w:r>
      <w:r>
        <w:rPr>
          <w:rFonts w:hint="eastAsia" w:ascii="仿宋_GB2312" w:eastAsia="仿宋_GB2312"/>
          <w:kern w:val="2"/>
          <w:sz w:val="32"/>
          <w:szCs w:val="32"/>
          <w:lang w:val="en-US" w:eastAsia="zh-CN"/>
        </w:rPr>
        <w:t>38</w:t>
      </w:r>
      <w:r>
        <w:rPr>
          <w:rFonts w:hint="eastAsia" w:ascii="仿宋_GB2312" w:eastAsia="仿宋_GB2312"/>
          <w:kern w:val="2"/>
          <w:sz w:val="32"/>
          <w:szCs w:val="32"/>
        </w:rPr>
        <w:t>：</w:t>
      </w:r>
      <w:r>
        <w:rPr>
          <w:rFonts w:hint="eastAsia" w:ascii="仿宋_GB2312" w:eastAsia="仿宋_GB2312"/>
          <w:kern w:val="2"/>
          <w:sz w:val="32"/>
          <w:szCs w:val="32"/>
          <w:lang w:val="en-US" w:eastAsia="zh-CN"/>
        </w:rPr>
        <w:t>19.96</w:t>
      </w:r>
      <w:r>
        <w:rPr>
          <w:rFonts w:hint="eastAsia" w:ascii="仿宋_GB2312" w:eastAsia="仿宋_GB2312"/>
          <w:kern w:val="2"/>
          <w:sz w:val="32"/>
          <w:szCs w:val="32"/>
        </w:rPr>
        <w:t>：</w:t>
      </w:r>
      <w:r>
        <w:rPr>
          <w:rFonts w:hint="eastAsia" w:ascii="仿宋_GB2312" w:eastAsia="仿宋_GB2312"/>
          <w:kern w:val="2"/>
          <w:sz w:val="32"/>
          <w:szCs w:val="32"/>
          <w:lang w:val="en-US" w:eastAsia="zh-CN"/>
        </w:rPr>
        <w:t>45.66</w:t>
      </w:r>
      <w:r>
        <w:rPr>
          <w:rFonts w:hint="eastAsia" w:ascii="仿宋_GB2312" w:eastAsia="仿宋_GB2312"/>
          <w:kern w:val="2"/>
          <w:sz w:val="32"/>
          <w:szCs w:val="32"/>
          <w:lang w:eastAsia="zh-CN"/>
        </w:rPr>
        <w:t>。</w:t>
      </w:r>
    </w:p>
    <w:p>
      <w:pPr>
        <w:pageBreakBefore w:val="0"/>
        <w:kinsoku/>
        <w:wordWrap/>
        <w:overflowPunct/>
        <w:topLinePunct w:val="0"/>
        <w:bidi w:val="0"/>
        <w:snapToGrid/>
        <w:spacing w:line="360" w:lineRule="auto"/>
        <w:ind w:left="0" w:leftChars="0" w:right="0" w:righ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全年城镇新增就业</w:t>
      </w:r>
      <w:r>
        <w:rPr>
          <w:rFonts w:hint="eastAsia" w:ascii="仿宋_GB2312" w:hAnsi="仿宋_GB2312" w:eastAsia="仿宋_GB2312" w:cs="仿宋_GB2312"/>
          <w:sz w:val="32"/>
          <w:szCs w:val="32"/>
          <w:lang w:val="en-US" w:eastAsia="zh-CN"/>
        </w:rPr>
        <w:t>5272人；城镇登记失业率2.69%，比上年上升1.37个百分点。农村劳动力转移就业9209人，比上年增长0.11%。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80"/>
        <w:jc w:val="both"/>
        <w:rPr>
          <w:rFonts w:hint="eastAsia" w:ascii="仿宋_GB2312" w:hAnsi="微软雅黑" w:eastAsia="仿宋_GB2312" w:cs="仿宋_GB2312"/>
          <w:b w:val="0"/>
          <w:i w:val="0"/>
          <w:caps w:val="0"/>
          <w:color w:val="000000"/>
          <w:spacing w:val="0"/>
          <w:kern w:val="0"/>
          <w:sz w:val="32"/>
          <w:szCs w:val="32"/>
          <w:lang w:val="en-US" w:eastAsia="zh-CN" w:bidi="ar"/>
        </w:rPr>
      </w:pPr>
      <w:r>
        <w:rPr>
          <w:rFonts w:hint="eastAsia" w:ascii="仿宋_GB2312" w:hAnsi="微软雅黑" w:eastAsia="仿宋_GB2312" w:cs="仿宋_GB2312"/>
          <w:b w:val="0"/>
          <w:i w:val="0"/>
          <w:caps w:val="0"/>
          <w:color w:val="000000"/>
          <w:spacing w:val="0"/>
          <w:kern w:val="0"/>
          <w:sz w:val="32"/>
          <w:szCs w:val="32"/>
          <w:lang w:val="en-US" w:eastAsia="zh-CN" w:bidi="ar"/>
        </w:rPr>
        <w:t>全年居民消费价格（CPI）比上年上涨3.4%，商品零售价格总指数上涨2.1%，农业生产资料价格比上年上涨3.5%。</w:t>
      </w:r>
    </w:p>
    <w:p>
      <w:pPr>
        <w:pStyle w:val="2"/>
        <w:rPr>
          <w:rFonts w:hint="eastAsia"/>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jc w:val="center"/>
        <w:rPr>
          <w:rFonts w:hint="eastAsia" w:ascii="宋体" w:hAnsi="宋体" w:eastAsia="宋体" w:cs="宋体"/>
          <w:b/>
          <w:i w:val="0"/>
          <w:caps w:val="0"/>
          <w:color w:val="000000"/>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jc w:val="center"/>
        <w:rPr>
          <w:rFonts w:hint="eastAsia"/>
          <w:lang w:val="en-US" w:eastAsia="zh-CN"/>
        </w:rPr>
      </w:pPr>
      <w:r>
        <w:rPr>
          <w:rFonts w:hint="eastAsia" w:ascii="宋体" w:hAnsi="宋体" w:eastAsia="宋体" w:cs="宋体"/>
          <w:b/>
          <w:i w:val="0"/>
          <w:caps w:val="0"/>
          <w:color w:val="000000"/>
          <w:spacing w:val="0"/>
          <w:kern w:val="0"/>
          <w:sz w:val="32"/>
          <w:szCs w:val="32"/>
          <w:lang w:val="en-US" w:eastAsia="zh-CN" w:bidi="ar"/>
        </w:rPr>
        <w:t>表1  2020年居民消费价格比上年涨跌幅度（%）</w:t>
      </w:r>
    </w:p>
    <w:tbl>
      <w:tblPr>
        <w:tblStyle w:val="7"/>
        <w:tblW w:w="66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526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85"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b/>
                <w:bCs/>
                <w:i w:val="0"/>
                <w:color w:val="000000"/>
                <w:kern w:val="0"/>
                <w:sz w:val="24"/>
                <w:szCs w:val="24"/>
                <w:u w:val="none"/>
                <w:lang w:val="en-US" w:eastAsia="zh-CN" w:bidi="ar"/>
              </w:rPr>
              <w:t>居民消费价格总指数</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both"/>
              <w:textAlignment w:val="center"/>
              <w:rPr>
                <w:rFonts w:hint="default" w:asciiTheme="minorEastAsia" w:hAnsiTheme="minorEastAsia" w:eastAsiaTheme="minorEastAsia" w:cstheme="minorEastAsia"/>
                <w:b/>
                <w:i w:val="0"/>
                <w:color w:val="000000"/>
                <w:sz w:val="24"/>
                <w:szCs w:val="24"/>
                <w:u w:val="none"/>
                <w:lang w:val="en-US"/>
              </w:rPr>
            </w:pPr>
            <w:r>
              <w:rPr>
                <w:rFonts w:hint="eastAsia" w:asciiTheme="minorEastAsia" w:hAnsiTheme="minorEastAsia" w:eastAsiaTheme="minorEastAsia" w:cstheme="minorEastAsia"/>
                <w:b/>
                <w:i w:val="0"/>
                <w:color w:val="000000"/>
                <w:kern w:val="0"/>
                <w:sz w:val="24"/>
                <w:szCs w:val="24"/>
                <w:u w:val="none"/>
                <w:lang w:val="en-US" w:eastAsia="zh-CN" w:bidi="ar"/>
              </w:rPr>
              <w:t xml:space="preserve"> </w:t>
            </w:r>
            <w:r>
              <w:rPr>
                <w:rFonts w:hint="eastAsia" w:asciiTheme="minorEastAsia" w:hAnsiTheme="minorEastAsia" w:cstheme="minorEastAsia"/>
                <w:b/>
                <w:i w:val="0"/>
                <w:color w:val="000000"/>
                <w:kern w:val="0"/>
                <w:sz w:val="24"/>
                <w:szCs w:val="24"/>
                <w:u w:val="none"/>
                <w:lang w:val="en-US" w:eastAsia="zh-CN" w:bidi="ar"/>
              </w:rPr>
              <w:t xml:space="preserve">     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一、食品烟酒</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default" w:asciiTheme="minorEastAsia" w:hAnsiTheme="minorEastAsia" w:eastAsiaTheme="minorEastAsia" w:cstheme="minorEastAsia"/>
                <w:i w:val="0"/>
                <w:color w:val="000000"/>
                <w:sz w:val="24"/>
                <w:szCs w:val="24"/>
                <w:u w:val="none"/>
                <w:lang w:val="en-US" w:eastAsia="zh-CN"/>
              </w:rPr>
            </w:pPr>
            <w:r>
              <w:rPr>
                <w:rFonts w:hint="eastAsia" w:asciiTheme="minorEastAsia" w:hAnsiTheme="minorEastAsia" w:cstheme="minorEastAsia"/>
                <w:i w:val="0"/>
                <w:color w:val="000000"/>
                <w:sz w:val="24"/>
                <w:szCs w:val="24"/>
                <w:u w:val="none"/>
                <w:lang w:val="en-US" w:eastAsia="zh-CN"/>
              </w:rPr>
              <w:t>110.9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 xml:space="preserve">  粮    食</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default" w:asciiTheme="minorEastAsia" w:hAnsiTheme="minorEastAsia" w:eastAsiaTheme="minorEastAsia" w:cstheme="minorEastAsia"/>
                <w:i w:val="0"/>
                <w:color w:val="000000"/>
                <w:sz w:val="24"/>
                <w:szCs w:val="24"/>
                <w:u w:val="none"/>
                <w:lang w:val="en-US" w:eastAsia="zh-CN"/>
              </w:rPr>
            </w:pPr>
            <w:r>
              <w:rPr>
                <w:rFonts w:hint="eastAsia" w:asciiTheme="minorEastAsia" w:hAnsiTheme="minorEastAsia" w:cstheme="minorEastAsia"/>
                <w:i w:val="0"/>
                <w:color w:val="000000"/>
                <w:sz w:val="24"/>
                <w:szCs w:val="24"/>
                <w:u w:val="none"/>
                <w:lang w:val="en-US" w:eastAsia="zh-CN"/>
              </w:rPr>
              <w:t>102.3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 xml:space="preserve">  鲜    菜</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default" w:asciiTheme="minorEastAsia" w:hAnsiTheme="minorEastAsia" w:eastAsiaTheme="minorEastAsia" w:cstheme="minorEastAsia"/>
                <w:i w:val="0"/>
                <w:color w:val="000000"/>
                <w:sz w:val="24"/>
                <w:szCs w:val="24"/>
                <w:u w:val="none"/>
                <w:lang w:val="en-US"/>
              </w:rPr>
            </w:pPr>
            <w:r>
              <w:rPr>
                <w:rFonts w:hint="eastAsia" w:asciiTheme="minorEastAsia" w:hAnsiTheme="minorEastAsia" w:cstheme="minorEastAsia"/>
                <w:i w:val="0"/>
                <w:color w:val="000000"/>
                <w:kern w:val="0"/>
                <w:sz w:val="24"/>
                <w:szCs w:val="24"/>
                <w:u w:val="none"/>
                <w:lang w:val="en-US" w:eastAsia="zh-CN" w:bidi="ar"/>
              </w:rPr>
              <w:t>103.9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 xml:space="preserve">  畜    肉</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141.9</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 xml:space="preserve">  水 产 品</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102.2</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 xml:space="preserve">  蛋</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92.6</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 xml:space="preserve">  鲜    果</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88.6</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二、衣着</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99.5</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三、居住</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99.6</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四、生活用品及服务</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99.5</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五、交通和通信</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94.9</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六、教育文化和娱乐</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99.3</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七、医疗保健</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101.2</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八、其他用品和服务</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cstheme="minorEastAsia"/>
                <w:i w:val="0"/>
                <w:color w:val="000000"/>
                <w:kern w:val="0"/>
                <w:sz w:val="24"/>
                <w:szCs w:val="24"/>
                <w:u w:val="none"/>
                <w:lang w:val="en-US" w:eastAsia="zh-CN" w:bidi="ar"/>
              </w:rPr>
              <w:t>100.9</w:t>
            </w:r>
            <w:r>
              <w:rPr>
                <w:rFonts w:hint="eastAsia" w:asciiTheme="minorEastAsia" w:hAnsiTheme="minorEastAsia" w:eastAsiaTheme="minorEastAsia" w:cstheme="minorEastAsia"/>
                <w:i w:val="0"/>
                <w:color w:val="000000"/>
                <w:kern w:val="0"/>
                <w:sz w:val="24"/>
                <w:szCs w:val="24"/>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tbl>
            <w:tblPr>
              <w:tblStyle w:val="7"/>
              <w:tblW w:w="499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9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95" w:type="dxa"/>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ascii="黑体" w:hAnsi="宋体" w:eastAsia="黑体" w:cs="黑体"/>
                      <w:i w:val="0"/>
                      <w:color w:val="000000"/>
                      <w:sz w:val="24"/>
                      <w:szCs w:val="24"/>
                      <w:u w:val="none"/>
                    </w:rPr>
                  </w:pPr>
                  <w:r>
                    <w:rPr>
                      <w:rFonts w:hint="eastAsia" w:ascii="黑体" w:hAnsi="宋体" w:eastAsia="黑体" w:cs="黑体"/>
                      <w:b/>
                      <w:bCs/>
                      <w:i w:val="0"/>
                      <w:color w:val="000000"/>
                      <w:kern w:val="0"/>
                      <w:sz w:val="24"/>
                      <w:szCs w:val="24"/>
                      <w:u w:val="none"/>
                      <w:lang w:val="en-US" w:eastAsia="zh-CN" w:bidi="ar"/>
                    </w:rPr>
                    <w:t>商品零售价格总指数</w:t>
                  </w:r>
                </w:p>
              </w:tc>
            </w:tr>
          </w:tbl>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kern w:val="0"/>
                <w:sz w:val="24"/>
                <w:szCs w:val="24"/>
                <w:u w:val="none"/>
                <w:lang w:val="en-US" w:eastAsia="zh-CN" w:bidi="ar"/>
              </w:rPr>
            </w:pP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default" w:asciiTheme="minorEastAsia" w:hAnsiTheme="minorEastAsia" w:eastAsiaTheme="minorEastAsia" w:cstheme="minorEastAsia"/>
                <w:b/>
                <w:bCs/>
                <w:i w:val="0"/>
                <w:color w:val="000000"/>
                <w:kern w:val="0"/>
                <w:sz w:val="24"/>
                <w:szCs w:val="24"/>
                <w:u w:val="none"/>
                <w:lang w:val="en-US" w:eastAsia="zh-CN" w:bidi="ar"/>
              </w:rPr>
            </w:pPr>
            <w:r>
              <w:rPr>
                <w:rFonts w:hint="eastAsia" w:asciiTheme="minorEastAsia" w:hAnsiTheme="minorEastAsia" w:cstheme="minorEastAsia"/>
                <w:b/>
                <w:bCs/>
                <w:i w:val="0"/>
                <w:color w:val="000000"/>
                <w:kern w:val="0"/>
                <w:sz w:val="24"/>
                <w:szCs w:val="24"/>
                <w:u w:val="none"/>
                <w:lang w:val="en-US" w:eastAsia="zh-CN" w:bidi="ar"/>
              </w:rPr>
              <w:t>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70" w:hRule="atLeast"/>
          <w:jc w:val="center"/>
        </w:trPr>
        <w:tc>
          <w:tcPr>
            <w:tcW w:w="52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left"/>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黑体" w:hAnsi="宋体" w:eastAsia="黑体" w:cs="黑体"/>
                <w:b/>
                <w:bCs/>
                <w:i w:val="0"/>
                <w:color w:val="000000"/>
                <w:kern w:val="0"/>
                <w:sz w:val="24"/>
                <w:szCs w:val="24"/>
                <w:u w:val="none"/>
                <w:lang w:val="en-US" w:eastAsia="zh-CN" w:bidi="ar"/>
              </w:rPr>
              <w:t>农业生产资料价格指数</w:t>
            </w:r>
          </w:p>
        </w:tc>
        <w:tc>
          <w:tcPr>
            <w:tcW w:w="139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ind w:left="0" w:leftChars="0" w:right="0" w:rightChars="0"/>
              <w:jc w:val="right"/>
              <w:textAlignment w:val="center"/>
              <w:rPr>
                <w:rFonts w:hint="default" w:asciiTheme="minorEastAsia" w:hAnsiTheme="minorEastAsia" w:eastAsiaTheme="minorEastAsia" w:cstheme="minorEastAsia"/>
                <w:b/>
                <w:bCs/>
                <w:i w:val="0"/>
                <w:color w:val="000000"/>
                <w:kern w:val="0"/>
                <w:sz w:val="24"/>
                <w:szCs w:val="24"/>
                <w:u w:val="none"/>
                <w:lang w:val="en-US" w:eastAsia="zh-CN" w:bidi="ar"/>
              </w:rPr>
            </w:pPr>
            <w:r>
              <w:rPr>
                <w:rFonts w:hint="eastAsia" w:asciiTheme="minorEastAsia" w:hAnsiTheme="minorEastAsia" w:cstheme="minorEastAsia"/>
                <w:b/>
                <w:bCs/>
                <w:i w:val="0"/>
                <w:color w:val="000000"/>
                <w:kern w:val="0"/>
                <w:sz w:val="24"/>
                <w:szCs w:val="24"/>
                <w:u w:val="none"/>
                <w:lang w:val="en-US" w:eastAsia="zh-CN" w:bidi="ar"/>
              </w:rPr>
              <w:t>103.5</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firstLineChars="200"/>
        <w:jc w:val="both"/>
        <w:rPr>
          <w:rFonts w:hint="eastAsia" w:ascii="仿宋_GB2312" w:hAnsi="微软雅黑" w:eastAsia="仿宋_GB2312" w:cs="仿宋_GB2312"/>
          <w:b w:val="0"/>
          <w:i w:val="0"/>
          <w:caps w:val="0"/>
          <w:color w:val="000000"/>
          <w:spacing w:val="0"/>
          <w:kern w:val="0"/>
          <w:sz w:val="32"/>
          <w:szCs w:val="32"/>
          <w:lang w:val="en-US" w:eastAsia="zh-CN" w:bidi="ar"/>
        </w:rPr>
      </w:pPr>
      <w:r>
        <w:rPr>
          <w:rFonts w:hint="eastAsia" w:ascii="仿宋_GB2312" w:hAnsi="微软雅黑" w:eastAsia="仿宋_GB2312" w:cs="仿宋_GB2312"/>
          <w:b w:val="0"/>
          <w:bCs w:val="0"/>
          <w:i w:val="0"/>
          <w:caps w:val="0"/>
          <w:color w:val="000000"/>
          <w:spacing w:val="0"/>
          <w:kern w:val="0"/>
          <w:sz w:val="32"/>
          <w:szCs w:val="32"/>
          <w:lang w:val="en-US" w:eastAsia="zh-CN" w:bidi="ar"/>
        </w:rPr>
        <w:t>供给侧结构性改革深入推进。2020年全市热带特色高效农业增加值68.59亿元，比上年增长5.5%，占经济规模为26.0%。</w:t>
      </w:r>
      <w:r>
        <w:rPr>
          <w:rFonts w:hint="eastAsia" w:ascii="仿宋_GB2312" w:hAnsi="微软雅黑" w:eastAsia="仿宋_GB2312" w:cs="仿宋_GB2312"/>
          <w:b w:val="0"/>
          <w:i w:val="0"/>
          <w:caps w:val="0"/>
          <w:color w:val="000000"/>
          <w:spacing w:val="0"/>
          <w:kern w:val="0"/>
          <w:sz w:val="32"/>
          <w:szCs w:val="32"/>
          <w:lang w:val="en-US" w:eastAsia="zh-CN" w:bidi="ar"/>
        </w:rPr>
        <w:t>固定资产投资与GDP比例连续下降，2020年降至82.5%。</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firstLineChars="200"/>
        <w:jc w:val="both"/>
        <w:rPr>
          <w:rFonts w:hint="eastAsia" w:ascii="仿宋_GB2312" w:hAnsi="微软雅黑" w:eastAsia="仿宋_GB2312" w:cs="仿宋_GB2312"/>
          <w:b w:val="0"/>
          <w:bCs w:val="0"/>
          <w:i w:val="0"/>
          <w:caps w:val="0"/>
          <w:color w:val="000000"/>
          <w:spacing w:val="0"/>
          <w:kern w:val="0"/>
          <w:sz w:val="32"/>
          <w:szCs w:val="32"/>
          <w:lang w:val="en-US" w:eastAsia="zh-CN" w:bidi="ar"/>
        </w:rPr>
      </w:pPr>
      <w:r>
        <w:rPr>
          <w:rFonts w:hint="eastAsia" w:ascii="仿宋_GB2312" w:hAnsi="微软雅黑" w:eastAsia="仿宋_GB2312" w:cs="仿宋_GB2312"/>
          <w:b w:val="0"/>
          <w:bCs w:val="0"/>
          <w:i w:val="0"/>
          <w:caps w:val="0"/>
          <w:color w:val="auto"/>
          <w:spacing w:val="0"/>
          <w:kern w:val="0"/>
          <w:sz w:val="32"/>
          <w:szCs w:val="32"/>
          <w:lang w:val="en-US" w:eastAsia="zh-CN" w:bidi="ar"/>
        </w:rPr>
        <w:t>2020年，全市新认定高新技术企业5家，同比增长66.7%，有效期内高新技术企业总数11家，同比增长22.2%。全市</w:t>
      </w:r>
      <w:r>
        <w:rPr>
          <w:rFonts w:hint="eastAsia" w:ascii="仿宋_GB2312" w:hAnsi="微软雅黑" w:eastAsia="仿宋_GB2312" w:cs="仿宋_GB2312"/>
          <w:b w:val="0"/>
          <w:bCs w:val="0"/>
          <w:i w:val="0"/>
          <w:caps w:val="0"/>
          <w:color w:val="000000"/>
          <w:spacing w:val="0"/>
          <w:kern w:val="0"/>
          <w:sz w:val="32"/>
          <w:szCs w:val="32"/>
          <w:lang w:val="en-US" w:eastAsia="zh-CN" w:bidi="ar"/>
        </w:rPr>
        <w:t>线上交易规模不断扩大，全市限额以上批发和零售业线上交易的商品销售额增长明显，推动快递业务大幅增长，全年邮政快递业务量为306.15万件，比上年增长25.2%。</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微软雅黑" w:eastAsia="仿宋_GB2312" w:cs="仿宋_GB2312"/>
          <w:b w:val="0"/>
          <w:i w:val="0"/>
          <w:caps w:val="0"/>
          <w:color w:val="auto"/>
          <w:spacing w:val="0"/>
          <w:kern w:val="0"/>
          <w:sz w:val="32"/>
          <w:szCs w:val="32"/>
          <w:lang w:val="en-US" w:eastAsia="zh-CN" w:bidi="ar"/>
        </w:rPr>
        <w:t>脱贫攻坚成效显著。</w:t>
      </w:r>
      <w:r>
        <w:rPr>
          <w:rFonts w:hint="eastAsia" w:ascii="仿宋_GB2312" w:hAnsi="仿宋_GB2312" w:eastAsia="仿宋_GB2312" w:cs="仿宋_GB2312"/>
          <w:b w:val="0"/>
          <w:bCs w:val="0"/>
          <w:color w:val="auto"/>
          <w:sz w:val="32"/>
          <w:szCs w:val="32"/>
          <w:lang w:val="en-US" w:eastAsia="zh-CN"/>
        </w:rPr>
        <w:t>我市建档立卡贫困户共4183户16289</w:t>
      </w:r>
      <w:r>
        <w:rPr>
          <w:rFonts w:hint="eastAsia" w:ascii="仿宋_GB2312" w:hAnsi="仿宋_GB2312" w:eastAsia="仿宋_GB2312" w:cs="仿宋_GB2312"/>
          <w:color w:val="auto"/>
          <w:sz w:val="32"/>
          <w:szCs w:val="32"/>
          <w:lang w:val="en-US" w:eastAsia="zh-CN"/>
        </w:rPr>
        <w:t>名贫困人口全部脱贫退出</w:t>
      </w:r>
      <w:r>
        <w:rPr>
          <w:rFonts w:hint="eastAsia" w:ascii="仿宋_GB2312" w:hAnsi="仿宋_GB2312" w:eastAsia="仿宋_GB2312" w:cs="仿宋_GB2312"/>
          <w:color w:val="auto"/>
          <w:sz w:val="32"/>
          <w:szCs w:val="32"/>
          <w:lang w:eastAsia="zh-CN"/>
        </w:rPr>
        <w:t>，“两不愁三保障”全面解决。全年</w:t>
      </w:r>
      <w:r>
        <w:rPr>
          <w:rFonts w:hint="eastAsia" w:ascii="仿宋_GB2312" w:hAnsi="仿宋_GB2312" w:eastAsia="仿宋_GB2312" w:cs="仿宋_GB2312"/>
          <w:color w:val="auto"/>
          <w:sz w:val="32"/>
          <w:szCs w:val="32"/>
        </w:rPr>
        <w:t>发放</w:t>
      </w:r>
      <w:r>
        <w:rPr>
          <w:rFonts w:hint="eastAsia" w:ascii="仿宋_GB2312" w:hAnsi="仿宋_GB2312" w:eastAsia="仿宋_GB2312" w:cs="仿宋_GB2312"/>
          <w:color w:val="auto"/>
          <w:sz w:val="32"/>
          <w:szCs w:val="32"/>
          <w:lang w:val="en-US" w:eastAsia="zh-CN"/>
        </w:rPr>
        <w:t>建档立卡贫困家庭学生资助金3509</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val="en-US" w:eastAsia="zh-CN"/>
        </w:rPr>
        <w:t>778.8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，发放农村低保、特困供养家庭学生资助金1661</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val="en-US" w:eastAsia="zh-CN"/>
        </w:rPr>
        <w:t>363.9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，发放“雨露计划”项目补助304人次53.2万元，为49名贫困低保残疾学生开展送教上门服务</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全市共投资</w:t>
      </w:r>
      <w:r>
        <w:rPr>
          <w:rFonts w:hint="eastAsia" w:ascii="仿宋_GB2312" w:hAnsi="仿宋_GB2312" w:eastAsia="仿宋_GB2312" w:cs="仿宋_GB2312"/>
          <w:color w:val="auto"/>
          <w:sz w:val="32"/>
          <w:szCs w:val="32"/>
          <w:lang w:val="en-US" w:eastAsia="zh-CN"/>
        </w:rPr>
        <w:t>2315万</w:t>
      </w:r>
      <w:r>
        <w:rPr>
          <w:rFonts w:hint="eastAsia" w:ascii="仿宋_GB2312" w:hAnsi="仿宋_GB2312" w:eastAsia="仿宋_GB2312" w:cs="仿宋_GB2312"/>
          <w:color w:val="auto"/>
          <w:sz w:val="32"/>
          <w:szCs w:val="32"/>
          <w:lang w:eastAsia="zh-CN"/>
        </w:rPr>
        <w:t>元，实施</w:t>
      </w:r>
      <w:r>
        <w:rPr>
          <w:rFonts w:hint="eastAsia" w:ascii="仿宋_GB2312" w:hAnsi="仿宋_GB2312" w:eastAsia="仿宋_GB2312" w:cs="仿宋_GB2312"/>
          <w:color w:val="auto"/>
          <w:sz w:val="32"/>
          <w:szCs w:val="32"/>
          <w:lang w:val="en-US" w:eastAsia="zh-CN"/>
        </w:rPr>
        <w:t>72</w:t>
      </w:r>
      <w:r>
        <w:rPr>
          <w:rFonts w:hint="eastAsia" w:ascii="仿宋_GB2312" w:hAnsi="仿宋_GB2312" w:eastAsia="仿宋_GB2312" w:cs="仿宋_GB2312"/>
          <w:color w:val="auto"/>
          <w:sz w:val="32"/>
          <w:szCs w:val="32"/>
          <w:lang w:eastAsia="zh-CN"/>
        </w:rPr>
        <w:t>宗农村饮水工程，受益群众达2.</w:t>
      </w:r>
      <w:r>
        <w:rPr>
          <w:rFonts w:hint="eastAsia" w:ascii="仿宋_GB2312" w:hAnsi="仿宋_GB2312" w:eastAsia="仿宋_GB2312" w:cs="仿宋_GB2312"/>
          <w:color w:val="auto"/>
          <w:sz w:val="32"/>
          <w:szCs w:val="32"/>
          <w:lang w:val="en-US" w:eastAsia="zh-CN"/>
        </w:rPr>
        <w:t>37</w:t>
      </w:r>
      <w:r>
        <w:rPr>
          <w:rFonts w:hint="eastAsia" w:ascii="仿宋_GB2312" w:hAnsi="仿宋_GB2312" w:eastAsia="仿宋_GB2312" w:cs="仿宋_GB2312"/>
          <w:color w:val="auto"/>
          <w:sz w:val="32"/>
          <w:szCs w:val="32"/>
          <w:lang w:eastAsia="zh-CN"/>
        </w:rPr>
        <w:t>万人，完成水质检测</w:t>
      </w:r>
      <w:r>
        <w:rPr>
          <w:rFonts w:hint="eastAsia" w:ascii="仿宋_GB2312" w:hAnsi="仿宋_GB2312" w:eastAsia="仿宋_GB2312" w:cs="仿宋_GB2312"/>
          <w:color w:val="auto"/>
          <w:sz w:val="32"/>
          <w:szCs w:val="32"/>
          <w:lang w:val="en-US" w:eastAsia="zh-CN"/>
        </w:rPr>
        <w:t>409</w:t>
      </w:r>
      <w:r>
        <w:rPr>
          <w:rFonts w:hint="eastAsia" w:ascii="仿宋_GB2312" w:hAnsi="仿宋_GB2312" w:eastAsia="仿宋_GB2312" w:cs="仿宋_GB2312"/>
          <w:color w:val="auto"/>
          <w:sz w:val="32"/>
          <w:szCs w:val="32"/>
          <w:lang w:eastAsia="zh-CN"/>
        </w:rPr>
        <w:t>处合格率100%，使</w:t>
      </w:r>
      <w:r>
        <w:rPr>
          <w:rFonts w:hint="eastAsia" w:ascii="仿宋_GB2312" w:hAnsi="仿宋_GB2312" w:eastAsia="仿宋_GB2312" w:cs="仿宋_GB2312"/>
          <w:color w:val="auto"/>
          <w:sz w:val="32"/>
          <w:szCs w:val="32"/>
          <w:lang w:val="en-US" w:eastAsia="zh-CN"/>
        </w:rPr>
        <w:t>贫困群众饮水安全均得到保障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eastAsia="zh-CN"/>
        </w:rPr>
        <w:t>提升就业扶贫质量，全市贫困劳动力</w:t>
      </w:r>
      <w:r>
        <w:rPr>
          <w:rFonts w:hint="eastAsia" w:ascii="仿宋_GB2312" w:hAnsi="仿宋_GB2312" w:eastAsia="仿宋_GB2312" w:cs="仿宋_GB2312"/>
          <w:b w:val="0"/>
          <w:bCs w:val="0"/>
          <w:color w:val="auto"/>
          <w:sz w:val="32"/>
          <w:szCs w:val="32"/>
          <w:lang w:val="en-US" w:eastAsia="zh-CN"/>
        </w:rPr>
        <w:t>8868</w:t>
      </w:r>
      <w:r>
        <w:rPr>
          <w:rFonts w:hint="eastAsia" w:ascii="仿宋_GB2312" w:hAnsi="仿宋_GB2312" w:eastAsia="仿宋_GB2312" w:cs="仿宋_GB2312"/>
          <w:b w:val="0"/>
          <w:bCs w:val="0"/>
          <w:color w:val="auto"/>
          <w:sz w:val="32"/>
          <w:szCs w:val="32"/>
          <w:lang w:eastAsia="zh-CN"/>
        </w:rPr>
        <w:t>人，贫困劳动力转移就业</w:t>
      </w:r>
      <w:r>
        <w:rPr>
          <w:rFonts w:hint="eastAsia" w:ascii="仿宋_GB2312" w:hAnsi="仿宋_GB2312" w:eastAsia="仿宋_GB2312" w:cs="仿宋_GB2312"/>
          <w:b w:val="0"/>
          <w:bCs w:val="0"/>
          <w:color w:val="auto"/>
          <w:sz w:val="32"/>
          <w:szCs w:val="32"/>
          <w:lang w:val="en-US" w:eastAsia="zh-CN"/>
        </w:rPr>
        <w:t>6728</w:t>
      </w:r>
      <w:r>
        <w:rPr>
          <w:rFonts w:hint="eastAsia" w:ascii="仿宋_GB2312" w:hAnsi="仿宋_GB2312" w:eastAsia="仿宋_GB2312" w:cs="仿宋_GB2312"/>
          <w:b w:val="0"/>
          <w:bCs w:val="0"/>
          <w:color w:val="auto"/>
          <w:sz w:val="32"/>
          <w:szCs w:val="32"/>
          <w:lang w:eastAsia="zh-CN"/>
        </w:rPr>
        <w:t>人，累计开发</w:t>
      </w:r>
      <w:r>
        <w:rPr>
          <w:rFonts w:hint="eastAsia" w:ascii="仿宋_GB2312" w:hAnsi="仿宋_GB2312" w:eastAsia="仿宋_GB2312" w:cs="仿宋_GB2312"/>
          <w:b w:val="0"/>
          <w:bCs w:val="0"/>
          <w:color w:val="auto"/>
          <w:sz w:val="32"/>
          <w:szCs w:val="32"/>
        </w:rPr>
        <w:t>公益性岗位</w:t>
      </w:r>
      <w:r>
        <w:rPr>
          <w:rFonts w:hint="eastAsia" w:ascii="仿宋_GB2312" w:hAnsi="仿宋_GB2312" w:eastAsia="仿宋_GB2312" w:cs="仿宋_GB2312"/>
          <w:b w:val="0"/>
          <w:bCs w:val="0"/>
          <w:color w:val="auto"/>
          <w:sz w:val="32"/>
          <w:szCs w:val="32"/>
          <w:lang w:eastAsia="zh-CN"/>
        </w:rPr>
        <w:t>上岗</w:t>
      </w:r>
      <w:r>
        <w:rPr>
          <w:rFonts w:hint="eastAsia" w:ascii="仿宋_GB2312" w:hAnsi="仿宋_GB2312" w:eastAsia="仿宋_GB2312" w:cs="仿宋_GB2312"/>
          <w:b w:val="0"/>
          <w:bCs w:val="0"/>
          <w:color w:val="auto"/>
          <w:sz w:val="32"/>
          <w:szCs w:val="32"/>
          <w:lang w:val="en-US" w:eastAsia="zh-CN"/>
        </w:rPr>
        <w:t>376</w:t>
      </w:r>
      <w:r>
        <w:rPr>
          <w:rFonts w:hint="eastAsia" w:ascii="仿宋_GB2312" w:hAnsi="仿宋_GB2312" w:eastAsia="仿宋_GB2312" w:cs="仿宋_GB2312"/>
          <w:b w:val="0"/>
          <w:bCs w:val="0"/>
          <w:color w:val="auto"/>
          <w:sz w:val="32"/>
          <w:szCs w:val="32"/>
        </w:rPr>
        <w:t>人，</w:t>
      </w:r>
      <w:r>
        <w:rPr>
          <w:rFonts w:hint="eastAsia" w:ascii="仿宋_GB2312" w:hAnsi="仿宋_GB2312" w:eastAsia="仿宋_GB2312" w:cs="仿宋_GB2312"/>
          <w:b w:val="0"/>
          <w:bCs w:val="0"/>
          <w:color w:val="auto"/>
          <w:sz w:val="32"/>
          <w:szCs w:val="32"/>
          <w:lang w:eastAsia="zh-CN"/>
        </w:rPr>
        <w:t>开发</w:t>
      </w:r>
      <w:r>
        <w:rPr>
          <w:rFonts w:hint="eastAsia" w:ascii="仿宋_GB2312" w:hAnsi="仿宋_GB2312" w:eastAsia="仿宋_GB2312" w:cs="仿宋_GB2312"/>
          <w:b w:val="0"/>
          <w:bCs w:val="0"/>
          <w:color w:val="auto"/>
          <w:sz w:val="32"/>
          <w:szCs w:val="32"/>
        </w:rPr>
        <w:t>就业扶贫公益专岗</w:t>
      </w:r>
      <w:r>
        <w:rPr>
          <w:rFonts w:hint="eastAsia" w:ascii="仿宋_GB2312" w:hAnsi="仿宋_GB2312" w:eastAsia="仿宋_GB2312" w:cs="仿宋_GB2312"/>
          <w:b w:val="0"/>
          <w:bCs w:val="0"/>
          <w:color w:val="auto"/>
          <w:sz w:val="32"/>
          <w:szCs w:val="32"/>
          <w:lang w:eastAsia="zh-CN"/>
        </w:rPr>
        <w:t>上岗</w:t>
      </w:r>
      <w:r>
        <w:rPr>
          <w:rFonts w:hint="eastAsia" w:ascii="仿宋_GB2312" w:hAnsi="仿宋_GB2312" w:eastAsia="仿宋_GB2312" w:cs="仿宋_GB2312"/>
          <w:b w:val="0"/>
          <w:bCs w:val="0"/>
          <w:color w:val="auto"/>
          <w:sz w:val="32"/>
          <w:szCs w:val="32"/>
          <w:lang w:val="en-US" w:eastAsia="zh-CN"/>
        </w:rPr>
        <w:t>503</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highlight w:val="none"/>
          <w:shd w:val="clear" w:color="auto" w:fill="auto"/>
          <w:lang w:val="en-US" w:eastAsia="zh-CN"/>
        </w:rPr>
        <w:t>2020年共安排财政专项扶贫资金10942万元（其中：中央资金3169万元、省级资金3563万元、市级资金4210万元）</w:t>
      </w:r>
      <w:r>
        <w:rPr>
          <w:rFonts w:hint="eastAsia" w:ascii="仿宋_GB2312" w:hAnsi="仿宋_GB2312" w:eastAsia="仿宋_GB2312" w:cs="仿宋_GB2312"/>
          <w:b/>
          <w:bCs/>
          <w:color w:val="auto"/>
          <w:sz w:val="32"/>
          <w:szCs w:val="32"/>
          <w:highlight w:val="none"/>
          <w:shd w:val="clear" w:color="auto" w:fill="auto"/>
          <w:lang w:eastAsia="zh-CN"/>
        </w:rPr>
        <w:t>。</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80"/>
        <w:jc w:val="both"/>
        <w:rPr>
          <w:rFonts w:hint="eastAsia" w:ascii="黑体" w:hAnsi="宋体" w:eastAsia="黑体" w:cs="黑体"/>
          <w:b w:val="0"/>
          <w:i w:val="0"/>
          <w:caps w:val="0"/>
          <w:color w:val="auto"/>
          <w:spacing w:val="0"/>
          <w:kern w:val="0"/>
          <w:sz w:val="32"/>
          <w:szCs w:val="32"/>
          <w:lang w:val="en-US" w:eastAsia="zh-CN" w:bidi="ar"/>
        </w:rPr>
      </w:pPr>
      <w:r>
        <w:rPr>
          <w:rFonts w:hint="eastAsia" w:ascii="黑体" w:hAnsi="宋体" w:eastAsia="黑体" w:cs="黑体"/>
          <w:b w:val="0"/>
          <w:i w:val="0"/>
          <w:caps w:val="0"/>
          <w:color w:val="auto"/>
          <w:spacing w:val="0"/>
          <w:kern w:val="0"/>
          <w:sz w:val="32"/>
          <w:szCs w:val="32"/>
          <w:lang w:val="en-US" w:eastAsia="zh-CN" w:bidi="ar"/>
        </w:rPr>
        <w:t>农林牧渔业</w:t>
      </w:r>
    </w:p>
    <w:p>
      <w:pPr>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lang w:val="en-US" w:eastAsia="zh-CN"/>
        </w:rPr>
      </w:pPr>
      <w:r>
        <w:rPr>
          <w:rFonts w:hint="eastAsia"/>
          <w:color w:val="FF0000"/>
          <w:lang w:val="en-US" w:eastAsia="zh-CN"/>
        </w:rPr>
        <w:t xml:space="preserve"> </w:t>
      </w:r>
      <w:r>
        <w:rPr>
          <w:rFonts w:hint="eastAsia" w:ascii="仿宋_GB2312" w:eastAsia="仿宋_GB2312"/>
          <w:color w:val="auto"/>
          <w:sz w:val="32"/>
          <w:szCs w:val="32"/>
          <w:lang w:eastAsia="zh-CN"/>
        </w:rPr>
        <w:t>全年全市农林牧渔业总产值</w:t>
      </w:r>
      <w:r>
        <w:rPr>
          <w:rFonts w:hint="eastAsia" w:ascii="仿宋_GB2312" w:eastAsia="仿宋_GB2312"/>
          <w:color w:val="auto"/>
          <w:sz w:val="32"/>
          <w:szCs w:val="32"/>
          <w:lang w:val="en-US" w:eastAsia="zh-CN"/>
        </w:rPr>
        <w:t>145.33</w:t>
      </w:r>
      <w:r>
        <w:rPr>
          <w:rFonts w:hint="eastAsia" w:ascii="仿宋_GB2312" w:eastAsia="仿宋_GB2312"/>
          <w:color w:val="auto"/>
          <w:sz w:val="32"/>
          <w:szCs w:val="32"/>
        </w:rPr>
        <w:t>亿元，</w:t>
      </w:r>
      <w:r>
        <w:rPr>
          <w:rFonts w:hint="eastAsia" w:ascii="仿宋_GB2312" w:eastAsia="仿宋_GB2312"/>
          <w:color w:val="auto"/>
          <w:sz w:val="32"/>
          <w:szCs w:val="32"/>
          <w:lang w:val="en-US" w:eastAsia="zh-CN"/>
        </w:rPr>
        <w:t>比上年</w:t>
      </w:r>
      <w:r>
        <w:rPr>
          <w:rFonts w:hint="eastAsia" w:ascii="仿宋_GB2312" w:eastAsia="仿宋_GB2312"/>
          <w:color w:val="auto"/>
          <w:sz w:val="32"/>
          <w:szCs w:val="32"/>
        </w:rPr>
        <w:t>增长</w:t>
      </w:r>
      <w:r>
        <w:rPr>
          <w:rFonts w:hint="eastAsia" w:ascii="仿宋_GB2312" w:eastAsia="仿宋_GB2312"/>
          <w:color w:val="auto"/>
          <w:sz w:val="32"/>
          <w:szCs w:val="32"/>
          <w:lang w:val="en-US" w:eastAsia="zh-CN"/>
        </w:rPr>
        <w:t>4.3</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w:t>
      </w:r>
      <w:r>
        <w:rPr>
          <w:rFonts w:hint="eastAsia" w:ascii="仿宋_GB2312" w:eastAsia="仿宋_GB2312"/>
          <w:sz w:val="32"/>
          <w:szCs w:val="32"/>
          <w:lang w:val="en-US" w:eastAsia="zh-CN"/>
        </w:rPr>
        <w:t>从内部行业来看，</w:t>
      </w:r>
      <w:r>
        <w:rPr>
          <w:rFonts w:hint="eastAsia" w:ascii="仿宋" w:hAnsi="仿宋" w:eastAsia="仿宋"/>
          <w:color w:val="auto"/>
          <w:sz w:val="32"/>
          <w:szCs w:val="32"/>
          <w:lang w:val="en-US" w:eastAsia="zh-CN"/>
        </w:rPr>
        <w:t>种植业产值59.46亿元，比上年增长3.0%，</w:t>
      </w:r>
      <w:r>
        <w:rPr>
          <w:rFonts w:hint="eastAsia" w:ascii="仿宋_GB2312" w:eastAsia="仿宋_GB2312"/>
          <w:color w:val="auto"/>
          <w:sz w:val="32"/>
          <w:szCs w:val="32"/>
          <w:lang w:eastAsia="zh-CN"/>
        </w:rPr>
        <w:t>粮食、蔬菜产量比上年下降</w:t>
      </w:r>
      <w:r>
        <w:rPr>
          <w:rFonts w:hint="eastAsia" w:ascii="仿宋_GB2312" w:eastAsia="仿宋_GB2312"/>
          <w:color w:val="auto"/>
          <w:sz w:val="32"/>
          <w:szCs w:val="32"/>
          <w:lang w:val="en-US" w:eastAsia="zh-CN"/>
        </w:rPr>
        <w:t>0.7%、4.6%，瓜果类产量比上年增长15.1%，水果产量比上年增长0.8%</w:t>
      </w:r>
      <w:r>
        <w:rPr>
          <w:rFonts w:hint="eastAsia" w:ascii="仿宋" w:hAnsi="仿宋" w:eastAsia="仿宋"/>
          <w:color w:val="auto"/>
          <w:sz w:val="32"/>
          <w:szCs w:val="32"/>
          <w:lang w:val="en-US" w:eastAsia="zh-CN"/>
        </w:rPr>
        <w:t>；林业产值3.28亿元，比上年增长8.4%；畜牧业产值37.95亿元，比上年增长2.0%，肉类总产量增长3.5%，其中，猪肉产量下降2.2%，牛、羊、家禽类产量分别增长31.7%、4.0%、4.3%；渔业产值37.68亿元，比上年增长6.6%，水产品产量增长5.5%；</w:t>
      </w:r>
      <w:r>
        <w:rPr>
          <w:rFonts w:hint="eastAsia" w:ascii="仿宋_GB2312" w:hAnsi="微软雅黑" w:eastAsia="仿宋_GB2312" w:cs="仿宋_GB2312"/>
          <w:b w:val="0"/>
          <w:i w:val="0"/>
          <w:caps w:val="0"/>
          <w:color w:val="000000"/>
          <w:spacing w:val="0"/>
          <w:kern w:val="0"/>
          <w:sz w:val="32"/>
          <w:szCs w:val="32"/>
          <w:lang w:val="en-US" w:eastAsia="zh-CN" w:bidi="ar"/>
        </w:rPr>
        <w:t>农林牧渔服务业产值6.95亿元，比上年增长13.2%。</w:t>
      </w:r>
    </w:p>
    <w:tbl>
      <w:tblPr>
        <w:tblStyle w:val="7"/>
        <w:tblpPr w:leftFromText="180" w:rightFromText="180" w:vertAnchor="text" w:horzAnchor="page" w:tblpX="2239" w:tblpY="857"/>
        <w:tblOverlap w:val="never"/>
        <w:tblW w:w="7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3975"/>
        <w:gridCol w:w="1815"/>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5" w:hRule="atLeast"/>
        </w:trPr>
        <w:tc>
          <w:tcPr>
            <w:tcW w:w="3975" w:type="dxa"/>
            <w:shd w:val="clear" w:color="auto" w:fill="auto"/>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2"/>
                <w:szCs w:val="22"/>
                <w:u w:val="none"/>
              </w:rPr>
            </w:pPr>
          </w:p>
        </w:tc>
        <w:tc>
          <w:tcPr>
            <w:tcW w:w="181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2020年</w:t>
            </w:r>
          </w:p>
        </w:tc>
        <w:tc>
          <w:tcPr>
            <w:tcW w:w="181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比上年增减%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5"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一、农林牧渔业总产值（万元）</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1453256 </w:t>
            </w:r>
          </w:p>
        </w:tc>
        <w:tc>
          <w:tcPr>
            <w:tcW w:w="18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 种植业</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594600 </w:t>
            </w:r>
          </w:p>
        </w:tc>
        <w:tc>
          <w:tcPr>
            <w:tcW w:w="18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525"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林业</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32817 </w:t>
            </w:r>
          </w:p>
        </w:tc>
        <w:tc>
          <w:tcPr>
            <w:tcW w:w="18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牧业</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379466 </w:t>
            </w:r>
          </w:p>
        </w:tc>
        <w:tc>
          <w:tcPr>
            <w:tcW w:w="18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8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渔业</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376838 </w:t>
            </w:r>
          </w:p>
        </w:tc>
        <w:tc>
          <w:tcPr>
            <w:tcW w:w="18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农林牧渔服务业</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69535 </w:t>
            </w:r>
          </w:p>
        </w:tc>
        <w:tc>
          <w:tcPr>
            <w:tcW w:w="18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二、农林牧渔业增加值（万元）</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938738 </w:t>
            </w:r>
          </w:p>
        </w:tc>
        <w:tc>
          <w:tcPr>
            <w:tcW w:w="18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2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 第一产业</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905991 </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5"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农林牧渔服务业增加值</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32747 </w:t>
            </w:r>
          </w:p>
        </w:tc>
        <w:tc>
          <w:tcPr>
            <w:tcW w:w="18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rPr>
        <w:tc>
          <w:tcPr>
            <w:tcW w:w="39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三、主要农产品产量（吨）</w:t>
            </w:r>
          </w:p>
        </w:tc>
        <w:tc>
          <w:tcPr>
            <w:tcW w:w="1815" w:type="dxa"/>
            <w:shd w:val="clear" w:color="auto" w:fill="auto"/>
            <w:noWrap/>
            <w:tcMar>
              <w:top w:w="15" w:type="dxa"/>
              <w:left w:w="15" w:type="dxa"/>
              <w:right w:w="15" w:type="dxa"/>
            </w:tcMar>
            <w:vAlign w:val="bottom"/>
          </w:tcPr>
          <w:p>
            <w:pPr>
              <w:pageBreakBefore w:val="0"/>
              <w:kinsoku/>
              <w:wordWrap/>
              <w:overflowPunct/>
              <w:topLinePunct w:val="0"/>
              <w:bidi w:val="0"/>
              <w:snapToGrid/>
              <w:spacing w:line="360" w:lineRule="auto"/>
              <w:rPr>
                <w:rFonts w:hint="default" w:ascii="Arial" w:hAnsi="Arial" w:eastAsia="宋体" w:cs="Arial"/>
                <w:i w:val="0"/>
                <w:color w:val="000000"/>
                <w:sz w:val="20"/>
                <w:szCs w:val="20"/>
                <w:u w:val="none"/>
              </w:rPr>
            </w:pPr>
          </w:p>
        </w:tc>
        <w:tc>
          <w:tcPr>
            <w:tcW w:w="1815" w:type="dxa"/>
            <w:shd w:val="clear" w:color="auto" w:fill="auto"/>
            <w:tcMar>
              <w:top w:w="15" w:type="dxa"/>
              <w:left w:w="15" w:type="dxa"/>
              <w:right w:w="15" w:type="dxa"/>
            </w:tcMar>
            <w:vAlign w:val="center"/>
          </w:tcPr>
          <w:p>
            <w:pPr>
              <w:pageBreakBefore w:val="0"/>
              <w:kinsoku/>
              <w:wordWrap/>
              <w:overflowPunct/>
              <w:topLinePunct w:val="0"/>
              <w:bidi w:val="0"/>
              <w:snapToGrid/>
              <w:spacing w:line="360" w:lineRule="auto"/>
              <w:jc w:val="center"/>
              <w:rPr>
                <w:rFonts w:hint="default" w:ascii="Arial" w:hAnsi="Arial" w:eastAsia="宋体" w:cs="Arial"/>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5" w:hRule="atLeast"/>
        </w:trPr>
        <w:tc>
          <w:tcPr>
            <w:tcW w:w="397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粮食</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113959</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75"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蔬</w:t>
            </w:r>
            <w:r>
              <w:rPr>
                <w:rStyle w:val="16"/>
                <w:rFonts w:eastAsia="宋体"/>
                <w:lang w:val="en-US" w:eastAsia="zh-CN" w:bidi="ar"/>
              </w:rPr>
              <w:t xml:space="preserve">  </w:t>
            </w:r>
            <w:r>
              <w:rPr>
                <w:rFonts w:hint="eastAsia" w:ascii="宋体" w:hAnsi="宋体" w:eastAsia="宋体" w:cs="宋体"/>
                <w:i w:val="0"/>
                <w:color w:val="000000"/>
                <w:kern w:val="0"/>
                <w:sz w:val="22"/>
                <w:szCs w:val="22"/>
                <w:u w:val="none"/>
                <w:lang w:val="en-US" w:eastAsia="zh-CN" w:bidi="ar"/>
              </w:rPr>
              <w:t>菜</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429585</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5"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瓜</w:t>
            </w:r>
            <w:r>
              <w:rPr>
                <w:rStyle w:val="16"/>
                <w:rFonts w:eastAsia="宋体"/>
                <w:lang w:val="en-US" w:eastAsia="zh-CN" w:bidi="ar"/>
              </w:rPr>
              <w:t xml:space="preserve"> </w:t>
            </w:r>
            <w:r>
              <w:rPr>
                <w:rFonts w:hint="eastAsia" w:ascii="宋体" w:hAnsi="宋体" w:eastAsia="宋体" w:cs="宋体"/>
                <w:i w:val="0"/>
                <w:color w:val="000000"/>
                <w:kern w:val="0"/>
                <w:sz w:val="22"/>
                <w:szCs w:val="22"/>
                <w:u w:val="none"/>
                <w:lang w:val="en-US" w:eastAsia="zh-CN" w:bidi="ar"/>
              </w:rPr>
              <w:t>果</w:t>
            </w:r>
            <w:r>
              <w:rPr>
                <w:rStyle w:val="16"/>
                <w:rFonts w:eastAsia="宋体"/>
                <w:lang w:val="en-US" w:eastAsia="zh-CN" w:bidi="ar"/>
              </w:rPr>
              <w:t xml:space="preserve"> </w:t>
            </w:r>
            <w:r>
              <w:rPr>
                <w:rFonts w:hint="eastAsia" w:ascii="宋体" w:hAnsi="宋体" w:eastAsia="宋体" w:cs="宋体"/>
                <w:i w:val="0"/>
                <w:color w:val="000000"/>
                <w:kern w:val="0"/>
                <w:sz w:val="22"/>
                <w:szCs w:val="22"/>
                <w:u w:val="none"/>
                <w:lang w:val="en-US" w:eastAsia="zh-CN" w:bidi="ar"/>
              </w:rPr>
              <w:t>类</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138549</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水</w:t>
            </w:r>
            <w:r>
              <w:rPr>
                <w:rStyle w:val="16"/>
                <w:rFonts w:eastAsia="宋体"/>
                <w:lang w:val="en-US" w:eastAsia="zh-CN" w:bidi="ar"/>
              </w:rPr>
              <w:t xml:space="preserve">  </w:t>
            </w:r>
            <w:r>
              <w:rPr>
                <w:rFonts w:hint="eastAsia" w:ascii="宋体" w:hAnsi="宋体" w:eastAsia="宋体" w:cs="宋体"/>
                <w:i w:val="0"/>
                <w:color w:val="000000"/>
                <w:kern w:val="0"/>
                <w:sz w:val="22"/>
                <w:szCs w:val="22"/>
                <w:u w:val="none"/>
                <w:lang w:val="en-US" w:eastAsia="zh-CN" w:bidi="ar"/>
              </w:rPr>
              <w:t>果</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131878</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6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肉类总产量</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102646</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猪</w:t>
            </w:r>
            <w:r>
              <w:rPr>
                <w:rStyle w:val="16"/>
                <w:rFonts w:eastAsia="宋体"/>
                <w:lang w:val="en-US" w:eastAsia="zh-CN" w:bidi="ar"/>
              </w:rPr>
              <w:t xml:space="preserve">  </w:t>
            </w:r>
            <w:r>
              <w:rPr>
                <w:rFonts w:hint="eastAsia" w:ascii="宋体" w:hAnsi="宋体" w:eastAsia="宋体" w:cs="宋体"/>
                <w:i w:val="0"/>
                <w:color w:val="000000"/>
                <w:kern w:val="0"/>
                <w:sz w:val="22"/>
                <w:szCs w:val="22"/>
                <w:u w:val="none"/>
                <w:lang w:val="en-US" w:eastAsia="zh-CN" w:bidi="ar"/>
              </w:rPr>
              <w:t>肉</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20307</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牛</w:t>
            </w:r>
            <w:r>
              <w:rPr>
                <w:rStyle w:val="16"/>
                <w:rFonts w:eastAsia="宋体"/>
                <w:lang w:val="en-US" w:eastAsia="zh-CN" w:bidi="ar"/>
              </w:rPr>
              <w:t xml:space="preserve">  </w:t>
            </w:r>
            <w:r>
              <w:rPr>
                <w:rFonts w:hint="eastAsia" w:ascii="宋体" w:hAnsi="宋体" w:eastAsia="宋体" w:cs="宋体"/>
                <w:i w:val="0"/>
                <w:color w:val="000000"/>
                <w:kern w:val="0"/>
                <w:sz w:val="22"/>
                <w:szCs w:val="22"/>
                <w:u w:val="none"/>
                <w:lang w:val="en-US" w:eastAsia="zh-CN" w:bidi="ar"/>
              </w:rPr>
              <w:t>肉</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2216</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2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羊</w:t>
            </w:r>
            <w:r>
              <w:rPr>
                <w:rStyle w:val="16"/>
                <w:rFonts w:eastAsia="宋体"/>
                <w:lang w:val="en-US" w:eastAsia="zh-CN" w:bidi="ar"/>
              </w:rPr>
              <w:t xml:space="preserve">  </w:t>
            </w:r>
            <w:r>
              <w:rPr>
                <w:rFonts w:hint="eastAsia" w:ascii="宋体" w:hAnsi="宋体" w:eastAsia="宋体" w:cs="宋体"/>
                <w:i w:val="0"/>
                <w:color w:val="000000"/>
                <w:kern w:val="0"/>
                <w:sz w:val="22"/>
                <w:szCs w:val="22"/>
                <w:u w:val="none"/>
                <w:lang w:val="en-US" w:eastAsia="zh-CN" w:bidi="ar"/>
              </w:rPr>
              <w:t>肉</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734</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禽</w:t>
            </w:r>
            <w:r>
              <w:rPr>
                <w:rStyle w:val="16"/>
                <w:rFonts w:eastAsia="宋体"/>
                <w:lang w:val="en-US" w:eastAsia="zh-CN" w:bidi="ar"/>
              </w:rPr>
              <w:t xml:space="preserve">  </w:t>
            </w:r>
            <w:r>
              <w:rPr>
                <w:rFonts w:hint="eastAsia" w:ascii="宋体" w:hAnsi="宋体" w:eastAsia="宋体" w:cs="宋体"/>
                <w:i w:val="0"/>
                <w:color w:val="000000"/>
                <w:kern w:val="0"/>
                <w:sz w:val="22"/>
                <w:szCs w:val="22"/>
                <w:u w:val="none"/>
                <w:lang w:val="en-US" w:eastAsia="zh-CN" w:bidi="ar"/>
              </w:rPr>
              <w:t>肉</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79145</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其它肉</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244</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5"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禽蛋产量</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4996</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5" w:hRule="atLeast"/>
        </w:trPr>
        <w:tc>
          <w:tcPr>
            <w:tcW w:w="397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水产品产量</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279731</w:t>
            </w:r>
          </w:p>
        </w:tc>
        <w:tc>
          <w:tcPr>
            <w:tcW w:w="1815" w:type="dxa"/>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bidi w:val="0"/>
              <w:snapToGrid/>
              <w:spacing w:line="360" w:lineRule="auto"/>
              <w:jc w:val="righ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5.5</w:t>
            </w:r>
          </w:p>
        </w:tc>
      </w:tr>
    </w:tbl>
    <w:p>
      <w:pPr>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rPr>
          <w:rFonts w:hint="eastAsia" w:ascii="宋体" w:hAnsi="宋体" w:eastAsia="宋体" w:cs="宋体"/>
          <w:b/>
          <w:i w:val="0"/>
          <w:caps w:val="0"/>
          <w:color w:val="000000"/>
          <w:spacing w:val="0"/>
          <w:kern w:val="0"/>
          <w:sz w:val="32"/>
          <w:szCs w:val="32"/>
          <w:lang w:val="en-US" w:eastAsia="zh-CN" w:bidi="ar"/>
        </w:rPr>
      </w:pPr>
      <w:r>
        <w:rPr>
          <w:rFonts w:hint="eastAsia" w:ascii="宋体" w:hAnsi="宋体" w:eastAsia="宋体" w:cs="宋体"/>
          <w:b/>
          <w:i w:val="0"/>
          <w:caps w:val="0"/>
          <w:color w:val="000000"/>
          <w:spacing w:val="0"/>
          <w:kern w:val="0"/>
          <w:sz w:val="32"/>
          <w:szCs w:val="32"/>
          <w:lang w:val="en-US" w:eastAsia="zh-CN" w:bidi="ar"/>
        </w:rPr>
        <w:t>表2  2020年全市农业产值、增加值、农产品产量</w:t>
      </w:r>
    </w:p>
    <w:p>
      <w:pPr>
        <w:pStyle w:val="2"/>
        <w:pageBreakBefore w:val="0"/>
        <w:kinsoku/>
        <w:wordWrap/>
        <w:overflowPunct/>
        <w:topLinePunct w:val="0"/>
        <w:bidi w:val="0"/>
        <w:snapToGrid/>
        <w:spacing w:line="360" w:lineRule="auto"/>
        <w:ind w:firstLine="640" w:firstLineChars="200"/>
        <w:jc w:val="left"/>
        <w:rPr>
          <w:rFonts w:hint="eastAsia" w:ascii="仿宋_GB2312" w:hAnsi="微软雅黑" w:eastAsia="仿宋_GB2312" w:cs="仿宋_GB2312"/>
          <w:b w:val="0"/>
          <w:bCs w:val="0"/>
          <w:i w:val="0"/>
          <w:caps w:val="0"/>
          <w:color w:val="FF0000"/>
          <w:spacing w:val="0"/>
          <w:kern w:val="0"/>
          <w:sz w:val="32"/>
          <w:szCs w:val="32"/>
          <w:lang w:val="en-US" w:eastAsia="zh-CN" w:bidi="ar"/>
        </w:rPr>
      </w:pPr>
      <w:r>
        <w:rPr>
          <w:rFonts w:hint="eastAsia" w:ascii="仿宋_GB2312" w:hAnsi="微软雅黑" w:eastAsia="仿宋_GB2312" w:cs="仿宋_GB2312"/>
          <w:b w:val="0"/>
          <w:bCs w:val="0"/>
          <w:i w:val="0"/>
          <w:caps w:val="0"/>
          <w:color w:val="000000"/>
          <w:spacing w:val="0"/>
          <w:kern w:val="0"/>
          <w:sz w:val="32"/>
          <w:szCs w:val="32"/>
          <w:lang w:val="en-US" w:eastAsia="zh-CN" w:bidi="ar"/>
        </w:rPr>
        <w:t>年末农业机械总动力58.13万千瓦，比上年增长5.0%。全年化肥施用量（折纯）3.64万吨，比上年下降2.1%。农田水利有效灌溉面积32.44万亩，比上年下降0.5%。</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color w:val="auto"/>
          <w:sz w:val="21"/>
          <w:szCs w:val="21"/>
        </w:rPr>
      </w:pPr>
      <w:r>
        <w:rPr>
          <w:rFonts w:hint="eastAsia" w:ascii="黑体" w:hAnsi="宋体" w:eastAsia="黑体" w:cs="黑体"/>
          <w:b w:val="0"/>
          <w:i w:val="0"/>
          <w:caps w:val="0"/>
          <w:color w:val="auto"/>
          <w:spacing w:val="0"/>
          <w:kern w:val="0"/>
          <w:sz w:val="32"/>
          <w:szCs w:val="32"/>
          <w:lang w:val="en-US" w:eastAsia="zh-CN" w:bidi="ar"/>
        </w:rPr>
        <w:t>三、工业和建筑业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eastAsia" w:ascii="仿宋_GB2312" w:hAnsi="微软雅黑" w:eastAsia="仿宋_GB2312" w:cs="仿宋_GB2312"/>
          <w:b w:val="0"/>
          <w:i w:val="0"/>
          <w:caps w:val="0"/>
          <w:color w:val="000000"/>
          <w:spacing w:val="0"/>
          <w:kern w:val="0"/>
          <w:sz w:val="32"/>
          <w:szCs w:val="32"/>
          <w:lang w:val="en-US" w:eastAsia="zh-CN" w:bidi="ar"/>
        </w:rPr>
      </w:pPr>
      <w:r>
        <w:rPr>
          <w:rFonts w:hint="eastAsia" w:ascii="仿宋_GB2312" w:hAnsi="微软雅黑" w:eastAsia="仿宋_GB2312" w:cs="仿宋_GB2312"/>
          <w:b w:val="0"/>
          <w:i w:val="0"/>
          <w:caps w:val="0"/>
          <w:color w:val="000000"/>
          <w:spacing w:val="0"/>
          <w:kern w:val="0"/>
          <w:sz w:val="32"/>
          <w:szCs w:val="32"/>
          <w:lang w:val="en-US" w:eastAsia="zh-CN" w:bidi="ar"/>
        </w:rPr>
        <w:t>全年全市规模以上工业增加值12.81亿元，比上年增长19.6%。18家规模以上工业总产值48.50亿元，比上年增长7.4%，按轻重工业分，轻工业产值比上年下降5.9%；</w:t>
      </w:r>
      <w:r>
        <w:rPr>
          <w:rFonts w:hint="eastAsia" w:ascii="仿宋_GB2312" w:hAnsi="微软雅黑" w:eastAsia="仿宋_GB2312" w:cs="仿宋_GB2312"/>
          <w:b w:val="0"/>
          <w:i w:val="0"/>
          <w:caps w:val="0"/>
          <w:color w:val="auto"/>
          <w:spacing w:val="0"/>
          <w:kern w:val="0"/>
          <w:sz w:val="32"/>
          <w:szCs w:val="32"/>
          <w:lang w:val="en-US" w:eastAsia="zh-CN" w:bidi="ar"/>
        </w:rPr>
        <w:t>重工业产值比上年增长17.5%。从经济类型看，国有企业产值比上年增长71.8%，股份制企业产值比上年下降12.9%，外商及港澳台投资企业产值比上年增长30.3%。</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jc w:val="center"/>
        <w:rPr>
          <w:rFonts w:hint="eastAsia" w:ascii="仿宋_GB2312" w:hAnsi="微软雅黑" w:eastAsia="仿宋_GB2312" w:cs="仿宋_GB2312"/>
          <w:b w:val="0"/>
          <w:bCs w:val="0"/>
          <w:i w:val="0"/>
          <w:caps w:val="0"/>
          <w:color w:val="auto"/>
          <w:spacing w:val="0"/>
          <w:kern w:val="0"/>
          <w:sz w:val="32"/>
          <w:szCs w:val="32"/>
          <w:lang w:val="en-US" w:eastAsia="zh-CN" w:bidi="ar"/>
        </w:rPr>
      </w:pPr>
      <w:r>
        <w:rPr>
          <w:rFonts w:hint="eastAsia" w:ascii="宋体" w:hAnsi="宋体" w:eastAsia="宋体" w:cs="宋体"/>
          <w:b/>
          <w:i w:val="0"/>
          <w:caps w:val="0"/>
          <w:color w:val="auto"/>
          <w:spacing w:val="0"/>
          <w:kern w:val="0"/>
          <w:sz w:val="32"/>
          <w:szCs w:val="32"/>
          <w:lang w:val="en-US" w:eastAsia="zh-CN" w:bidi="ar"/>
        </w:rPr>
        <w:t>表3  2020年全市工业完成情况（万元）</w:t>
      </w:r>
    </w:p>
    <w:tbl>
      <w:tblPr>
        <w:tblStyle w:val="7"/>
        <w:tblpPr w:leftFromText="180" w:rightFromText="180" w:vertAnchor="text" w:horzAnchor="page" w:tblpX="2354" w:tblpY="624"/>
        <w:tblOverlap w:val="never"/>
        <w:tblW w:w="6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3300"/>
        <w:gridCol w:w="1035"/>
        <w:gridCol w:w="1425"/>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99" w:hRule="atLeast"/>
        </w:trPr>
        <w:tc>
          <w:tcPr>
            <w:tcW w:w="3300" w:type="dxa"/>
            <w:vMerge w:val="restart"/>
            <w:shd w:val="clear" w:color="auto" w:fill="auto"/>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2"/>
                <w:szCs w:val="22"/>
                <w:u w:val="none"/>
              </w:rPr>
            </w:pPr>
          </w:p>
        </w:tc>
        <w:tc>
          <w:tcPr>
            <w:tcW w:w="1035"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企业数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（个）</w:t>
            </w:r>
          </w:p>
        </w:tc>
        <w:tc>
          <w:tcPr>
            <w:tcW w:w="1425"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2020年</w:t>
            </w:r>
          </w:p>
        </w:tc>
        <w:tc>
          <w:tcPr>
            <w:tcW w:w="1200"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比上年增长（%）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3300" w:type="dxa"/>
            <w:vMerge w:val="continue"/>
            <w:shd w:val="clear" w:color="auto" w:fill="auto"/>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2"/>
                <w:szCs w:val="22"/>
                <w:u w:val="none"/>
              </w:rPr>
            </w:pPr>
          </w:p>
        </w:tc>
        <w:tc>
          <w:tcPr>
            <w:tcW w:w="1035" w:type="dxa"/>
            <w:vMerge w:val="continue"/>
            <w:shd w:val="clear" w:color="auto" w:fill="auto"/>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2"/>
                <w:szCs w:val="22"/>
                <w:u w:val="none"/>
              </w:rPr>
            </w:pPr>
          </w:p>
        </w:tc>
        <w:tc>
          <w:tcPr>
            <w:tcW w:w="1425" w:type="dxa"/>
            <w:vMerge w:val="continue"/>
            <w:shd w:val="clear" w:color="auto" w:fill="auto"/>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2"/>
                <w:szCs w:val="22"/>
                <w:u w:val="none"/>
              </w:rPr>
            </w:pPr>
          </w:p>
        </w:tc>
        <w:tc>
          <w:tcPr>
            <w:tcW w:w="1200" w:type="dxa"/>
            <w:vMerge w:val="continue"/>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  一、规模以上工业产值</w:t>
            </w:r>
          </w:p>
        </w:tc>
        <w:tc>
          <w:tcPr>
            <w:tcW w:w="103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142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484995</w:t>
            </w:r>
          </w:p>
        </w:tc>
        <w:tc>
          <w:tcPr>
            <w:tcW w:w="12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1、按轻重工业分</w:t>
            </w:r>
          </w:p>
        </w:tc>
        <w:tc>
          <w:tcPr>
            <w:tcW w:w="1035" w:type="dxa"/>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4"/>
                <w:szCs w:val="24"/>
                <w:u w:val="none"/>
              </w:rPr>
            </w:pPr>
          </w:p>
        </w:tc>
        <w:tc>
          <w:tcPr>
            <w:tcW w:w="1425" w:type="dxa"/>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4"/>
                <w:szCs w:val="24"/>
                <w:u w:val="none"/>
              </w:rPr>
            </w:pPr>
          </w:p>
        </w:tc>
        <w:tc>
          <w:tcPr>
            <w:tcW w:w="1200" w:type="dxa"/>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轻工业</w:t>
            </w:r>
          </w:p>
        </w:tc>
        <w:tc>
          <w:tcPr>
            <w:tcW w:w="103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142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182770</w:t>
            </w:r>
          </w:p>
        </w:tc>
        <w:tc>
          <w:tcPr>
            <w:tcW w:w="12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重工业</w:t>
            </w:r>
          </w:p>
        </w:tc>
        <w:tc>
          <w:tcPr>
            <w:tcW w:w="103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142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302225</w:t>
            </w:r>
          </w:p>
        </w:tc>
        <w:tc>
          <w:tcPr>
            <w:tcW w:w="12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2、按经济类型分</w:t>
            </w:r>
          </w:p>
        </w:tc>
        <w:tc>
          <w:tcPr>
            <w:tcW w:w="1035" w:type="dxa"/>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4"/>
                <w:szCs w:val="24"/>
                <w:u w:val="none"/>
              </w:rPr>
            </w:pPr>
          </w:p>
        </w:tc>
        <w:tc>
          <w:tcPr>
            <w:tcW w:w="1425" w:type="dxa"/>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4"/>
                <w:szCs w:val="24"/>
                <w:u w:val="none"/>
              </w:rPr>
            </w:pPr>
          </w:p>
        </w:tc>
        <w:tc>
          <w:tcPr>
            <w:tcW w:w="1200" w:type="dxa"/>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39"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国有企业</w:t>
            </w:r>
          </w:p>
        </w:tc>
        <w:tc>
          <w:tcPr>
            <w:tcW w:w="103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42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174321</w:t>
            </w:r>
          </w:p>
        </w:tc>
        <w:tc>
          <w:tcPr>
            <w:tcW w:w="12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股份制企业</w:t>
            </w:r>
          </w:p>
        </w:tc>
        <w:tc>
          <w:tcPr>
            <w:tcW w:w="103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42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293110</w:t>
            </w:r>
          </w:p>
        </w:tc>
        <w:tc>
          <w:tcPr>
            <w:tcW w:w="12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39"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外商及港澳台商投资企业</w:t>
            </w:r>
          </w:p>
        </w:tc>
        <w:tc>
          <w:tcPr>
            <w:tcW w:w="103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2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17565</w:t>
            </w:r>
          </w:p>
        </w:tc>
        <w:tc>
          <w:tcPr>
            <w:tcW w:w="12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 二、规模以上工业销售产值</w:t>
            </w:r>
          </w:p>
        </w:tc>
        <w:tc>
          <w:tcPr>
            <w:tcW w:w="103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142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486925</w:t>
            </w:r>
          </w:p>
        </w:tc>
        <w:tc>
          <w:tcPr>
            <w:tcW w:w="12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5" w:hRule="atLeast"/>
        </w:trPr>
        <w:tc>
          <w:tcPr>
            <w:tcW w:w="330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 三、规模以上工业产销率（%）</w:t>
            </w:r>
          </w:p>
        </w:tc>
        <w:tc>
          <w:tcPr>
            <w:tcW w:w="1035" w:type="dxa"/>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4"/>
                <w:szCs w:val="24"/>
                <w:u w:val="none"/>
              </w:rPr>
            </w:pPr>
          </w:p>
        </w:tc>
        <w:tc>
          <w:tcPr>
            <w:tcW w:w="142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100.4</w:t>
            </w:r>
          </w:p>
        </w:tc>
        <w:tc>
          <w:tcPr>
            <w:tcW w:w="1200" w:type="dxa"/>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4"/>
                <w:szCs w:val="24"/>
                <w:u w:val="none"/>
              </w:rPr>
            </w:pPr>
          </w:p>
        </w:tc>
      </w:tr>
    </w:tbl>
    <w:p>
      <w:pPr>
        <w:pageBreakBefore w:val="0"/>
        <w:kinsoku/>
        <w:wordWrap/>
        <w:overflowPunct/>
        <w:topLinePunct w:val="0"/>
        <w:bidi w:val="0"/>
        <w:snapToGrid/>
        <w:spacing w:line="360" w:lineRule="auto"/>
        <w:rPr>
          <w:rFonts w:hint="eastAsia"/>
          <w:lang w:val="en-US" w:eastAsia="zh-CN"/>
        </w:rPr>
      </w:pPr>
    </w:p>
    <w:p>
      <w:pPr>
        <w:pStyle w:val="2"/>
        <w:pageBreakBefore w:val="0"/>
        <w:kinsoku/>
        <w:wordWrap/>
        <w:overflowPunct/>
        <w:topLinePunct w:val="0"/>
        <w:bidi w:val="0"/>
        <w:snapToGrid/>
        <w:spacing w:before="0" w:after="0" w:line="360" w:lineRule="auto"/>
        <w:ind w:left="0" w:leftChars="0" w:right="0" w:rightChars="0" w:firstLine="640" w:firstLineChars="200"/>
        <w:rPr>
          <w:rFonts w:hint="eastAsia" w:ascii="仿宋_GB2312" w:hAnsi="微软雅黑" w:eastAsia="仿宋_GB2312" w:cs="仿宋_GB2312"/>
          <w:b w:val="0"/>
          <w:bCs w:val="0"/>
          <w:i w:val="0"/>
          <w:caps w:val="0"/>
          <w:color w:val="FF0000"/>
          <w:spacing w:val="0"/>
          <w:kern w:val="0"/>
          <w:sz w:val="32"/>
          <w:szCs w:val="32"/>
          <w:lang w:val="en-US" w:eastAsia="zh-CN" w:bidi="ar"/>
        </w:rPr>
      </w:pPr>
      <w:r>
        <w:rPr>
          <w:rFonts w:hint="eastAsia" w:ascii="仿宋_GB2312" w:hAnsi="微软雅黑" w:eastAsia="仿宋_GB2312" w:cs="仿宋_GB2312"/>
          <w:b w:val="0"/>
          <w:bCs w:val="0"/>
          <w:i w:val="0"/>
          <w:caps w:val="0"/>
          <w:color w:val="auto"/>
          <w:spacing w:val="0"/>
          <w:kern w:val="0"/>
          <w:sz w:val="32"/>
          <w:szCs w:val="32"/>
          <w:lang w:val="en-US" w:eastAsia="zh-CN" w:bidi="ar"/>
        </w:rPr>
        <w:t>初步统计，全年规模以上工业企业（不含供电局）营业收入42.25亿元，比上年增长20.6%，实现利润总额2.30亿元，比上年下降29.3%。</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eastAsia" w:ascii="仿宋_GB2312" w:hAnsi="微软雅黑" w:eastAsia="仿宋_GB2312" w:cs="仿宋_GB2312"/>
          <w:b w:val="0"/>
          <w:i w:val="0"/>
          <w:caps w:val="0"/>
          <w:color w:val="000000"/>
          <w:spacing w:val="0"/>
          <w:kern w:val="0"/>
          <w:sz w:val="32"/>
          <w:szCs w:val="32"/>
          <w:lang w:val="en-US" w:eastAsia="zh-CN" w:bidi="ar"/>
        </w:rPr>
      </w:pPr>
      <w:r>
        <w:rPr>
          <w:rFonts w:hint="eastAsia" w:ascii="仿宋_GB2312" w:hAnsi="微软雅黑" w:eastAsia="仿宋_GB2312" w:cs="仿宋_GB2312"/>
          <w:b w:val="0"/>
          <w:i w:val="0"/>
          <w:caps w:val="0"/>
          <w:color w:val="000000"/>
          <w:spacing w:val="0"/>
          <w:kern w:val="0"/>
          <w:sz w:val="32"/>
          <w:szCs w:val="32"/>
          <w:lang w:val="en-US" w:eastAsia="zh-CN" w:bidi="ar"/>
        </w:rPr>
        <w:t>全年全市建筑业增加值36.47亿元，按可比价计算，比上年增长1.0%。</w:t>
      </w:r>
    </w:p>
    <w:p>
      <w:pPr>
        <w:pageBreakBefore w:val="0"/>
        <w:kinsoku/>
        <w:wordWrap/>
        <w:overflowPunct/>
        <w:topLinePunct w:val="0"/>
        <w:bidi w:val="0"/>
        <w:snapToGrid/>
        <w:spacing w:line="360" w:lineRule="auto"/>
        <w:ind w:firstLine="640" w:firstLineChars="200"/>
        <w:rPr>
          <w:rFonts w:hint="eastAsia" w:ascii="仿宋_GB2312" w:hAnsi="微软雅黑" w:eastAsia="仿宋_GB2312" w:cs="仿宋_GB2312"/>
          <w:b w:val="0"/>
          <w:bCs/>
          <w:i w:val="0"/>
          <w:caps w:val="0"/>
          <w:color w:val="auto"/>
          <w:spacing w:val="0"/>
          <w:kern w:val="0"/>
          <w:sz w:val="32"/>
          <w:szCs w:val="32"/>
          <w:lang w:val="en-US" w:eastAsia="zh-CN" w:bidi="ar"/>
        </w:rPr>
      </w:pPr>
      <w:r>
        <w:rPr>
          <w:rFonts w:hint="eastAsia" w:ascii="仿宋_GB2312" w:hAnsi="微软雅黑" w:eastAsia="仿宋_GB2312" w:cs="仿宋_GB2312"/>
          <w:b w:val="0"/>
          <w:bCs/>
          <w:i w:val="0"/>
          <w:caps w:val="0"/>
          <w:color w:val="auto"/>
          <w:spacing w:val="0"/>
          <w:kern w:val="0"/>
          <w:sz w:val="32"/>
          <w:szCs w:val="32"/>
          <w:lang w:val="en-US" w:eastAsia="zh-CN" w:bidi="ar"/>
        </w:rPr>
        <w:t>2020年全市具有资质等级的建筑企业单位3家，比上年减少1家。本市资质内建筑企业全年房屋建筑施工面积103691平方米，比上年下降1.9%；房屋建筑竣工面积84698平方米，比上年下降6.5%。</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sz w:val="21"/>
          <w:szCs w:val="21"/>
        </w:rPr>
      </w:pPr>
      <w:r>
        <w:rPr>
          <w:rFonts w:hint="eastAsia" w:ascii="黑体" w:hAnsi="宋体" w:eastAsia="黑体" w:cs="黑体"/>
          <w:b w:val="0"/>
          <w:i w:val="0"/>
          <w:caps w:val="0"/>
          <w:color w:val="000000"/>
          <w:spacing w:val="0"/>
          <w:kern w:val="0"/>
          <w:sz w:val="32"/>
          <w:szCs w:val="32"/>
          <w:lang w:val="en-US" w:eastAsia="zh-CN" w:bidi="ar"/>
        </w:rPr>
        <w:t>四、服务业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eastAsia" w:ascii="仿宋_GB2312" w:hAnsi="微软雅黑" w:eastAsia="仿宋_GB2312" w:cs="仿宋_GB2312"/>
          <w:b w:val="0"/>
          <w:i w:val="0"/>
          <w:caps w:val="0"/>
          <w:color w:val="000000"/>
          <w:spacing w:val="0"/>
          <w:kern w:val="0"/>
          <w:sz w:val="32"/>
          <w:szCs w:val="32"/>
          <w:lang w:val="en-US" w:eastAsia="zh-CN" w:bidi="ar"/>
        </w:rPr>
      </w:pPr>
      <w:r>
        <w:rPr>
          <w:rFonts w:hint="eastAsia" w:ascii="仿宋_GB2312" w:hAnsi="微软雅黑" w:eastAsia="仿宋_GB2312" w:cs="仿宋_GB2312"/>
          <w:b w:val="0"/>
          <w:i w:val="0"/>
          <w:caps w:val="0"/>
          <w:color w:val="000000"/>
          <w:spacing w:val="0"/>
          <w:kern w:val="0"/>
          <w:sz w:val="32"/>
          <w:szCs w:val="32"/>
          <w:lang w:val="en-US" w:eastAsia="zh-CN" w:bidi="ar"/>
        </w:rPr>
        <w:t>全年批发和零售业增加值20.87亿元，比上年下降1.7%；交通运输、仓储和邮政业增加值3.88亿元，比上年下降6.6%；住宿和餐饮业增加值12.45亿元，比上年下降11.2%；金融业增加值11.55亿元，比上年增长5.0%；房地产业增加值19.62亿元，比上年增长10.1%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eastAsia" w:ascii="仿宋_GB2312" w:hAnsi="微软雅黑" w:eastAsia="仿宋_GB2312" w:cs="仿宋_GB2312"/>
          <w:b w:val="0"/>
          <w:bCs w:val="0"/>
          <w:i w:val="0"/>
          <w:caps w:val="0"/>
          <w:color w:val="000000"/>
          <w:spacing w:val="0"/>
          <w:kern w:val="0"/>
          <w:sz w:val="32"/>
          <w:szCs w:val="32"/>
          <w:lang w:val="en-US" w:eastAsia="zh-CN" w:bidi="ar"/>
        </w:rPr>
      </w:pPr>
      <w:r>
        <w:rPr>
          <w:rFonts w:hint="eastAsia" w:ascii="仿宋_GB2312" w:hAnsi="微软雅黑" w:eastAsia="仿宋_GB2312" w:cs="仿宋_GB2312"/>
          <w:b w:val="0"/>
          <w:bCs w:val="0"/>
          <w:i w:val="0"/>
          <w:caps w:val="0"/>
          <w:color w:val="000000"/>
          <w:spacing w:val="0"/>
          <w:kern w:val="0"/>
          <w:sz w:val="32"/>
          <w:szCs w:val="32"/>
          <w:lang w:val="en-US" w:eastAsia="zh-CN" w:bidi="ar"/>
        </w:rPr>
        <w:t>全年货物运输量263万吨，货物运输周转量8083万吨公里；全年客运量367万人，旅客周转量13895万人公里。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color w:val="auto"/>
          <w:sz w:val="21"/>
          <w:szCs w:val="21"/>
        </w:rPr>
      </w:pPr>
      <w:r>
        <w:rPr>
          <w:rFonts w:hint="eastAsia" w:ascii="黑体" w:hAnsi="宋体" w:eastAsia="黑体" w:cs="黑体"/>
          <w:b w:val="0"/>
          <w:i w:val="0"/>
          <w:caps w:val="0"/>
          <w:color w:val="auto"/>
          <w:spacing w:val="0"/>
          <w:kern w:val="0"/>
          <w:sz w:val="32"/>
          <w:szCs w:val="32"/>
          <w:lang w:val="en-US" w:eastAsia="zh-CN" w:bidi="ar"/>
        </w:rPr>
        <w:t>五、国内贸易</w:t>
      </w:r>
    </w:p>
    <w:p>
      <w:pPr>
        <w:pStyle w:val="11"/>
        <w:pageBreakBefore w:val="0"/>
        <w:kinsoku/>
        <w:wordWrap/>
        <w:overflowPunct/>
        <w:topLinePunct w:val="0"/>
        <w:bidi w:val="0"/>
        <w:snapToGrid/>
        <w:spacing w:line="360" w:lineRule="auto"/>
        <w:ind w:left="0" w:leftChars="0" w:right="0" w:rightChars="0" w:firstLine="640" w:firstLineChars="200"/>
        <w:rPr>
          <w:rFonts w:hint="eastAsia" w:ascii="仿宋_GB2312" w:hAnsi="微软雅黑" w:eastAsia="仿宋_GB2312" w:cs="仿宋_GB2312"/>
          <w:b w:val="0"/>
          <w:i w:val="0"/>
          <w:caps w:val="0"/>
          <w:color w:val="000000"/>
          <w:spacing w:val="0"/>
          <w:kern w:val="0"/>
          <w:sz w:val="32"/>
          <w:szCs w:val="32"/>
          <w:lang w:val="en-US" w:eastAsia="zh-CN" w:bidi="ar"/>
        </w:rPr>
      </w:pPr>
      <w:r>
        <w:rPr>
          <w:rFonts w:hint="eastAsia" w:ascii="仿宋_GB2312" w:hAnsi="微软雅黑" w:eastAsia="仿宋_GB2312" w:cs="仿宋_GB2312"/>
          <w:b w:val="0"/>
          <w:i w:val="0"/>
          <w:caps w:val="0"/>
          <w:color w:val="000000"/>
          <w:spacing w:val="0"/>
          <w:kern w:val="0"/>
          <w:sz w:val="32"/>
          <w:szCs w:val="32"/>
          <w:lang w:val="en-US" w:eastAsia="zh-CN" w:bidi="ar"/>
        </w:rPr>
        <w:t>全年社会消费品零售总额85.58亿元，比上年下降4.0%。按经营地分，城镇零售额67.67亿元，比上年下降1.6%；乡村零售额17.92亿元，比上年下降11.6%。按消费形态分，商品零售额71.26亿元，比上年下降3.9%；餐饮收入14.32亿元，比上年下降4.8%。</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sz w:val="21"/>
          <w:szCs w:val="21"/>
        </w:rPr>
      </w:pPr>
      <w:r>
        <w:rPr>
          <w:rFonts w:hint="eastAsia" w:ascii="黑体" w:hAnsi="宋体" w:eastAsia="黑体" w:cs="黑体"/>
          <w:b w:val="0"/>
          <w:i w:val="0"/>
          <w:caps w:val="0"/>
          <w:color w:val="000000"/>
          <w:spacing w:val="0"/>
          <w:kern w:val="0"/>
          <w:sz w:val="32"/>
          <w:szCs w:val="32"/>
          <w:lang w:val="en-US" w:eastAsia="zh-CN" w:bidi="ar"/>
        </w:rPr>
        <w:t>六、固定资产投资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color w:val="FF0000"/>
          <w:sz w:val="21"/>
          <w:szCs w:val="21"/>
        </w:rPr>
      </w:pPr>
      <w:r>
        <w:rPr>
          <w:rFonts w:hint="eastAsia" w:ascii="仿宋_GB2312" w:hAnsi="微软雅黑" w:eastAsia="仿宋_GB2312" w:cs="仿宋_GB2312"/>
          <w:b w:val="0"/>
          <w:i w:val="0"/>
          <w:caps w:val="0"/>
          <w:color w:val="000000"/>
          <w:spacing w:val="0"/>
          <w:kern w:val="0"/>
          <w:sz w:val="32"/>
          <w:szCs w:val="32"/>
          <w:lang w:val="en-US" w:eastAsia="zh-CN" w:bidi="ar"/>
        </w:rPr>
        <w:t>全年固定资产投资（不含农户）比上年增长2.6%。其中，房地产开发投资比上年增长24.5%，非房地产开发投资比上年下降12.2%。按产业分，第一产业投资增长1231.5%，第二产业投资下降34.6%，第三产业投资增长2.2%。全年投资项目389个，比上年增加86个</w:t>
      </w:r>
      <w:r>
        <w:rPr>
          <w:rFonts w:hint="eastAsia" w:ascii="仿宋_GB2312" w:hAnsi="微软雅黑" w:eastAsia="仿宋_GB2312" w:cs="仿宋_GB2312"/>
          <w:b w:val="0"/>
          <w:i w:val="0"/>
          <w:caps w:val="0"/>
          <w:color w:val="auto"/>
          <w:spacing w:val="0"/>
          <w:kern w:val="0"/>
          <w:sz w:val="32"/>
          <w:szCs w:val="32"/>
          <w:lang w:val="en-US" w:eastAsia="zh-CN" w:bidi="ar"/>
        </w:rPr>
        <w:t>,其中本年新开工项目147个，增加39个。</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default" w:ascii="仿宋_GB2312" w:hAnsi="微软雅黑" w:eastAsia="仿宋_GB2312" w:cs="仿宋_GB2312"/>
          <w:b w:val="0"/>
          <w:i w:val="0"/>
          <w:caps w:val="0"/>
          <w:color w:val="000000"/>
          <w:spacing w:val="0"/>
          <w:kern w:val="0"/>
          <w:sz w:val="32"/>
          <w:szCs w:val="32"/>
          <w:lang w:val="en-US" w:eastAsia="zh-CN" w:bidi="ar"/>
        </w:rPr>
      </w:pPr>
      <w:r>
        <w:rPr>
          <w:rFonts w:hint="eastAsia" w:ascii="仿宋_GB2312" w:hAnsi="微软雅黑" w:eastAsia="仿宋_GB2312" w:cs="仿宋_GB2312"/>
          <w:b w:val="0"/>
          <w:i w:val="0"/>
          <w:caps w:val="0"/>
          <w:color w:val="000000"/>
          <w:spacing w:val="0"/>
          <w:kern w:val="0"/>
          <w:sz w:val="32"/>
          <w:szCs w:val="32"/>
          <w:lang w:val="en-US" w:eastAsia="zh-CN" w:bidi="ar"/>
        </w:rPr>
        <w:t>全年房地产开发投资106.57亿元，其中住宅投资79.30亿元，比上年增长13.4%；办公楼投资1.72亿元，比上年增长904.5%；商业营业用房投资18.91亿元，比上年增长102.8%；其他投资6.63亿元，比上年增长6.7%。</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eastAsia" w:ascii="仿宋_GB2312" w:hAnsi="微软雅黑" w:eastAsia="仿宋_GB2312" w:cs="仿宋_GB2312"/>
          <w:b w:val="0"/>
          <w:i w:val="0"/>
          <w:caps w:val="0"/>
          <w:color w:val="000000"/>
          <w:spacing w:val="0"/>
          <w:kern w:val="0"/>
          <w:sz w:val="32"/>
          <w:szCs w:val="32"/>
          <w:lang w:val="en-US" w:eastAsia="zh-CN" w:bidi="ar"/>
        </w:rPr>
      </w:pPr>
      <w:r>
        <w:rPr>
          <w:rFonts w:hint="eastAsia" w:ascii="仿宋_GB2312" w:hAnsi="微软雅黑" w:eastAsia="仿宋_GB2312" w:cs="仿宋_GB2312"/>
          <w:b w:val="0"/>
          <w:i w:val="0"/>
          <w:caps w:val="0"/>
          <w:color w:val="000000"/>
          <w:spacing w:val="0"/>
          <w:kern w:val="0"/>
          <w:sz w:val="32"/>
          <w:szCs w:val="32"/>
          <w:lang w:val="en-US" w:eastAsia="zh-CN" w:bidi="ar"/>
        </w:rPr>
        <w:t>全年房地产项目房屋施工面积313.29万平方米，比上年下降27.4%，其中本年新开工面积37.58万平方米，比上年下降59.4%。全市房屋销售面积28.73万平方米，比上年增长27.2%；销售额35.90亿元，比上年增长57.5%。</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eastAsia" w:ascii="仿宋_GB2312" w:hAnsi="微软雅黑" w:eastAsia="仿宋_GB2312" w:cs="仿宋_GB2312"/>
          <w:b w:val="0"/>
          <w:bCs w:val="0"/>
          <w:i w:val="0"/>
          <w:caps w:val="0"/>
          <w:color w:val="000000"/>
          <w:spacing w:val="0"/>
          <w:kern w:val="0"/>
          <w:sz w:val="32"/>
          <w:szCs w:val="32"/>
          <w:lang w:val="en-US" w:eastAsia="zh-CN" w:bidi="ar"/>
        </w:rPr>
      </w:pPr>
      <w:r>
        <w:rPr>
          <w:rFonts w:hint="eastAsia" w:ascii="仿宋_GB2312" w:hAnsi="微软雅黑" w:eastAsia="仿宋_GB2312" w:cs="仿宋_GB2312"/>
          <w:b w:val="0"/>
          <w:bCs w:val="0"/>
          <w:i w:val="0"/>
          <w:caps w:val="0"/>
          <w:color w:val="000000"/>
          <w:spacing w:val="0"/>
          <w:kern w:val="0"/>
          <w:sz w:val="32"/>
          <w:szCs w:val="32"/>
          <w:lang w:val="en-US" w:eastAsia="zh-CN" w:bidi="ar"/>
        </w:rPr>
        <w:t>全年省市重点项目累计完成投资113.73亿元，完成年度投资计划的79.9%，累计新开工项目42个，其中政府投资项目14个，社会投资项目28个，已开工项目30个，项目开工率71.4%。</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eastAsia" w:ascii="黑体" w:hAnsi="宋体" w:eastAsia="黑体" w:cs="黑体"/>
          <w:b w:val="0"/>
          <w:i w:val="0"/>
          <w:caps w:val="0"/>
          <w:color w:val="000000"/>
          <w:spacing w:val="0"/>
          <w:kern w:val="0"/>
          <w:sz w:val="32"/>
          <w:szCs w:val="32"/>
          <w:lang w:val="en-US" w:eastAsia="zh-CN" w:bidi="ar"/>
        </w:rPr>
      </w:pPr>
      <w:r>
        <w:rPr>
          <w:rFonts w:hint="eastAsia" w:ascii="黑体" w:hAnsi="宋体" w:eastAsia="黑体" w:cs="黑体"/>
          <w:b w:val="0"/>
          <w:i w:val="0"/>
          <w:caps w:val="0"/>
          <w:color w:val="000000"/>
          <w:spacing w:val="0"/>
          <w:kern w:val="0"/>
          <w:sz w:val="32"/>
          <w:szCs w:val="32"/>
          <w:lang w:val="en-US" w:eastAsia="zh-CN" w:bidi="ar"/>
        </w:rPr>
        <w:t>对外经济</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right="0" w:rightChars="0" w:firstLine="640" w:firstLineChars="200"/>
        <w:jc w:val="both"/>
        <w:rPr>
          <w:rFonts w:hint="eastAsia" w:ascii="仿宋_GB2312" w:hAnsi="微软雅黑" w:eastAsia="仿宋_GB2312" w:cs="仿宋_GB2312"/>
          <w:b w:val="0"/>
          <w:bCs w:val="0"/>
          <w:i w:val="0"/>
          <w:caps w:val="0"/>
          <w:color w:val="000000"/>
          <w:spacing w:val="0"/>
          <w:kern w:val="0"/>
          <w:sz w:val="32"/>
          <w:szCs w:val="32"/>
          <w:lang w:val="en-US" w:eastAsia="zh-CN" w:bidi="ar"/>
        </w:rPr>
      </w:pPr>
      <w:r>
        <w:rPr>
          <w:rFonts w:hint="eastAsia" w:ascii="仿宋_GB2312" w:hAnsi="微软雅黑" w:eastAsia="仿宋_GB2312" w:cs="仿宋_GB2312"/>
          <w:b w:val="0"/>
          <w:bCs w:val="0"/>
          <w:i w:val="0"/>
          <w:caps w:val="0"/>
          <w:color w:val="000000"/>
          <w:spacing w:val="0"/>
          <w:kern w:val="0"/>
          <w:sz w:val="32"/>
          <w:szCs w:val="32"/>
          <w:lang w:val="en-US" w:eastAsia="zh-CN" w:bidi="ar"/>
        </w:rPr>
        <w:t>2020年，全市货物</w:t>
      </w:r>
      <w:r>
        <w:rPr>
          <w:rFonts w:hint="default" w:ascii="仿宋_GB2312" w:hAnsi="微软雅黑" w:eastAsia="仿宋_GB2312" w:cs="仿宋_GB2312"/>
          <w:b w:val="0"/>
          <w:bCs w:val="0"/>
          <w:i w:val="0"/>
          <w:caps w:val="0"/>
          <w:color w:val="000000"/>
          <w:spacing w:val="0"/>
          <w:kern w:val="0"/>
          <w:sz w:val="32"/>
          <w:szCs w:val="32"/>
          <w:lang w:val="en-US" w:eastAsia="zh-CN" w:bidi="ar"/>
        </w:rPr>
        <w:t>进出口总额</w:t>
      </w:r>
      <w:r>
        <w:rPr>
          <w:rFonts w:hint="eastAsia" w:ascii="仿宋_GB2312" w:hAnsi="微软雅黑" w:eastAsia="仿宋_GB2312" w:cs="仿宋_GB2312"/>
          <w:b w:val="0"/>
          <w:bCs w:val="0"/>
          <w:i w:val="0"/>
          <w:caps w:val="0"/>
          <w:color w:val="000000"/>
          <w:spacing w:val="0"/>
          <w:kern w:val="0"/>
          <w:sz w:val="32"/>
          <w:szCs w:val="32"/>
          <w:lang w:val="en-US" w:eastAsia="zh-CN" w:bidi="ar"/>
        </w:rPr>
        <w:t>5.92</w:t>
      </w:r>
      <w:r>
        <w:rPr>
          <w:rFonts w:hint="default" w:ascii="仿宋_GB2312" w:hAnsi="微软雅黑" w:eastAsia="仿宋_GB2312" w:cs="仿宋_GB2312"/>
          <w:b w:val="0"/>
          <w:bCs w:val="0"/>
          <w:i w:val="0"/>
          <w:caps w:val="0"/>
          <w:color w:val="000000"/>
          <w:spacing w:val="0"/>
          <w:kern w:val="0"/>
          <w:sz w:val="32"/>
          <w:szCs w:val="32"/>
          <w:lang w:val="en-US" w:eastAsia="zh-CN" w:bidi="ar"/>
        </w:rPr>
        <w:t>亿元，</w:t>
      </w:r>
      <w:r>
        <w:rPr>
          <w:rFonts w:hint="eastAsia" w:ascii="仿宋_GB2312" w:hAnsi="微软雅黑" w:eastAsia="仿宋_GB2312" w:cs="仿宋_GB2312"/>
          <w:b w:val="0"/>
          <w:bCs w:val="0"/>
          <w:i w:val="0"/>
          <w:caps w:val="0"/>
          <w:color w:val="000000"/>
          <w:spacing w:val="0"/>
          <w:kern w:val="0"/>
          <w:sz w:val="32"/>
          <w:szCs w:val="32"/>
          <w:lang w:val="en-US" w:eastAsia="zh-CN" w:bidi="ar"/>
        </w:rPr>
        <w:t>比上年</w:t>
      </w:r>
      <w:r>
        <w:rPr>
          <w:rFonts w:hint="default" w:ascii="仿宋_GB2312" w:hAnsi="微软雅黑" w:eastAsia="仿宋_GB2312" w:cs="仿宋_GB2312"/>
          <w:b w:val="0"/>
          <w:bCs w:val="0"/>
          <w:i w:val="0"/>
          <w:caps w:val="0"/>
          <w:color w:val="000000"/>
          <w:spacing w:val="0"/>
          <w:kern w:val="0"/>
          <w:sz w:val="32"/>
          <w:szCs w:val="32"/>
          <w:lang w:val="en-US" w:eastAsia="zh-CN" w:bidi="ar"/>
        </w:rPr>
        <w:t>下降</w:t>
      </w:r>
      <w:r>
        <w:rPr>
          <w:rFonts w:hint="eastAsia" w:ascii="仿宋_GB2312" w:hAnsi="微软雅黑" w:eastAsia="仿宋_GB2312" w:cs="仿宋_GB2312"/>
          <w:b w:val="0"/>
          <w:bCs w:val="0"/>
          <w:i w:val="0"/>
          <w:caps w:val="0"/>
          <w:color w:val="000000"/>
          <w:spacing w:val="0"/>
          <w:kern w:val="0"/>
          <w:sz w:val="32"/>
          <w:szCs w:val="32"/>
          <w:lang w:val="en-US" w:eastAsia="zh-CN" w:bidi="ar"/>
        </w:rPr>
        <w:t>8.0</w:t>
      </w:r>
      <w:r>
        <w:rPr>
          <w:rFonts w:hint="default" w:ascii="仿宋_GB2312" w:hAnsi="微软雅黑" w:eastAsia="仿宋_GB2312" w:cs="仿宋_GB2312"/>
          <w:b w:val="0"/>
          <w:bCs w:val="0"/>
          <w:i w:val="0"/>
          <w:caps w:val="0"/>
          <w:color w:val="000000"/>
          <w:spacing w:val="0"/>
          <w:kern w:val="0"/>
          <w:sz w:val="32"/>
          <w:szCs w:val="32"/>
          <w:lang w:val="en-US" w:eastAsia="zh-CN" w:bidi="ar"/>
        </w:rPr>
        <w:t>%</w:t>
      </w:r>
      <w:r>
        <w:rPr>
          <w:rFonts w:hint="eastAsia" w:ascii="仿宋_GB2312" w:hAnsi="微软雅黑" w:eastAsia="仿宋_GB2312" w:cs="仿宋_GB2312"/>
          <w:b w:val="0"/>
          <w:bCs w:val="0"/>
          <w:i w:val="0"/>
          <w:caps w:val="0"/>
          <w:color w:val="000000"/>
          <w:spacing w:val="0"/>
          <w:kern w:val="0"/>
          <w:sz w:val="32"/>
          <w:szCs w:val="32"/>
          <w:lang w:val="en-US" w:eastAsia="zh-CN" w:bidi="ar"/>
        </w:rPr>
        <w:t>，完成省下达任务指标的81.8%。其中，货物出口完成5.21亿元，比上年下降1.2%，货物进口完成0.71亿元，比上年降低38.7%。全市服务</w:t>
      </w:r>
      <w:r>
        <w:rPr>
          <w:rFonts w:hint="default" w:ascii="仿宋_GB2312" w:hAnsi="微软雅黑" w:eastAsia="仿宋_GB2312" w:cs="仿宋_GB2312"/>
          <w:b w:val="0"/>
          <w:bCs w:val="0"/>
          <w:i w:val="0"/>
          <w:caps w:val="0"/>
          <w:color w:val="000000"/>
          <w:spacing w:val="0"/>
          <w:kern w:val="0"/>
          <w:sz w:val="32"/>
          <w:szCs w:val="32"/>
          <w:lang w:val="en-US" w:eastAsia="zh-CN" w:bidi="ar"/>
        </w:rPr>
        <w:t>进出口总额</w:t>
      </w:r>
      <w:r>
        <w:rPr>
          <w:rFonts w:hint="eastAsia" w:ascii="仿宋_GB2312" w:hAnsi="微软雅黑" w:eastAsia="仿宋_GB2312" w:cs="仿宋_GB2312"/>
          <w:b w:val="0"/>
          <w:bCs w:val="0"/>
          <w:i w:val="0"/>
          <w:caps w:val="0"/>
          <w:color w:val="000000"/>
          <w:spacing w:val="0"/>
          <w:kern w:val="0"/>
          <w:sz w:val="32"/>
          <w:szCs w:val="32"/>
          <w:lang w:val="en-US" w:eastAsia="zh-CN" w:bidi="ar"/>
        </w:rPr>
        <w:t>0.48</w:t>
      </w:r>
      <w:r>
        <w:rPr>
          <w:rFonts w:hint="default" w:ascii="仿宋_GB2312" w:hAnsi="微软雅黑" w:eastAsia="仿宋_GB2312" w:cs="仿宋_GB2312"/>
          <w:b w:val="0"/>
          <w:bCs w:val="0"/>
          <w:i w:val="0"/>
          <w:caps w:val="0"/>
          <w:color w:val="000000"/>
          <w:spacing w:val="0"/>
          <w:kern w:val="0"/>
          <w:sz w:val="32"/>
          <w:szCs w:val="32"/>
          <w:lang w:val="en-US" w:eastAsia="zh-CN" w:bidi="ar"/>
        </w:rPr>
        <w:t>亿元，</w:t>
      </w:r>
      <w:r>
        <w:rPr>
          <w:rFonts w:hint="eastAsia" w:ascii="仿宋_GB2312" w:hAnsi="微软雅黑" w:eastAsia="仿宋_GB2312" w:cs="仿宋_GB2312"/>
          <w:b w:val="0"/>
          <w:bCs w:val="0"/>
          <w:i w:val="0"/>
          <w:caps w:val="0"/>
          <w:color w:val="000000"/>
          <w:spacing w:val="0"/>
          <w:kern w:val="0"/>
          <w:sz w:val="32"/>
          <w:szCs w:val="32"/>
          <w:lang w:val="en-US" w:eastAsia="zh-CN" w:bidi="ar"/>
        </w:rPr>
        <w:t>比上年增长6.5</w:t>
      </w:r>
      <w:r>
        <w:rPr>
          <w:rFonts w:hint="default" w:ascii="仿宋_GB2312" w:hAnsi="微软雅黑" w:eastAsia="仿宋_GB2312" w:cs="仿宋_GB2312"/>
          <w:b w:val="0"/>
          <w:bCs w:val="0"/>
          <w:i w:val="0"/>
          <w:caps w:val="0"/>
          <w:color w:val="000000"/>
          <w:spacing w:val="0"/>
          <w:kern w:val="0"/>
          <w:sz w:val="32"/>
          <w:szCs w:val="32"/>
          <w:lang w:val="en-US" w:eastAsia="zh-CN" w:bidi="ar"/>
        </w:rPr>
        <w:t>%。</w:t>
      </w:r>
    </w:p>
    <w:p>
      <w:pPr>
        <w:pageBreakBefore w:val="0"/>
        <w:widowControl/>
        <w:numPr>
          <w:ilvl w:val="0"/>
          <w:numId w:val="3"/>
        </w:numPr>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firstLineChars="200"/>
        <w:jc w:val="left"/>
        <w:rPr>
          <w:rFonts w:hint="eastAsia" w:ascii="黑体" w:hAnsi="宋体" w:eastAsia="黑体" w:cs="黑体"/>
          <w:b w:val="0"/>
          <w:i w:val="0"/>
          <w:caps w:val="0"/>
          <w:color w:val="auto"/>
          <w:spacing w:val="0"/>
          <w:kern w:val="0"/>
          <w:sz w:val="32"/>
          <w:szCs w:val="32"/>
          <w:lang w:val="en-US" w:eastAsia="zh-CN"/>
        </w:rPr>
      </w:pPr>
      <w:r>
        <w:rPr>
          <w:rFonts w:hint="eastAsia" w:ascii="黑体" w:hAnsi="宋体" w:eastAsia="黑体" w:cs="黑体"/>
          <w:b w:val="0"/>
          <w:i w:val="0"/>
          <w:caps w:val="0"/>
          <w:color w:val="auto"/>
          <w:spacing w:val="0"/>
          <w:kern w:val="0"/>
          <w:sz w:val="32"/>
          <w:szCs w:val="32"/>
          <w:lang w:val="en-US" w:eastAsia="zh-CN"/>
        </w:rPr>
        <w:t>财政金融</w:t>
      </w:r>
    </w:p>
    <w:p>
      <w:pPr>
        <w:wordWrap/>
        <w:snapToGrid/>
        <w:spacing w:line="360" w:lineRule="auto"/>
        <w:ind w:firstLine="640" w:firstLineChars="200"/>
        <w:textAlignment w:val="auto"/>
        <w:rPr>
          <w:rFonts w:hint="eastAsia" w:ascii="仿宋_GB2312" w:eastAsia="仿宋_GB2312"/>
          <w:b w:val="0"/>
          <w:bCs w:val="0"/>
          <w:kern w:val="0"/>
          <w:sz w:val="32"/>
          <w:szCs w:val="32"/>
        </w:rPr>
      </w:pPr>
      <w:r>
        <w:rPr>
          <w:rFonts w:hint="eastAsia" w:ascii="仿宋_GB2312" w:eastAsia="仿宋_GB2312"/>
          <w:color w:val="auto"/>
          <w:kern w:val="0"/>
          <w:sz w:val="32"/>
          <w:szCs w:val="32"/>
          <w:lang w:val="en-US" w:eastAsia="zh-CN"/>
        </w:rPr>
        <w:t>2020年，</w:t>
      </w:r>
      <w:r>
        <w:rPr>
          <w:rFonts w:hint="eastAsia" w:ascii="仿宋_GB2312" w:eastAsia="仿宋_GB2312"/>
          <w:b w:val="0"/>
          <w:bCs w:val="0"/>
          <w:color w:val="auto"/>
          <w:kern w:val="0"/>
          <w:sz w:val="32"/>
          <w:szCs w:val="32"/>
          <w:shd w:val="clear" w:color="FFFFFF"/>
        </w:rPr>
        <w:t>全市全口径一般公共预算收入</w:t>
      </w:r>
      <w:r>
        <w:rPr>
          <w:rFonts w:hint="eastAsia" w:ascii="仿宋_GB2312" w:eastAsia="仿宋_GB2312"/>
          <w:b w:val="0"/>
          <w:bCs w:val="0"/>
          <w:color w:val="auto"/>
          <w:kern w:val="0"/>
          <w:sz w:val="32"/>
          <w:szCs w:val="32"/>
          <w:shd w:val="clear" w:color="FFFFFF"/>
          <w:lang w:val="en-US" w:eastAsia="zh-CN"/>
        </w:rPr>
        <w:t>24.94</w:t>
      </w:r>
      <w:r>
        <w:rPr>
          <w:rFonts w:hint="eastAsia" w:ascii="仿宋_GB2312" w:eastAsia="仿宋_GB2312"/>
          <w:b w:val="0"/>
          <w:bCs w:val="0"/>
          <w:color w:val="auto"/>
          <w:kern w:val="0"/>
          <w:sz w:val="32"/>
          <w:szCs w:val="32"/>
          <w:shd w:val="clear" w:color="FFFFFF"/>
        </w:rPr>
        <w:t>亿元，</w:t>
      </w:r>
      <w:r>
        <w:rPr>
          <w:rFonts w:hint="eastAsia" w:ascii="仿宋_GB2312" w:eastAsia="仿宋_GB2312"/>
          <w:b w:val="0"/>
          <w:bCs w:val="0"/>
          <w:color w:val="auto"/>
          <w:kern w:val="0"/>
          <w:sz w:val="32"/>
          <w:szCs w:val="32"/>
          <w:shd w:val="clear" w:color="FFFFFF"/>
          <w:lang w:eastAsia="zh-CN"/>
        </w:rPr>
        <w:t>比上年下降</w:t>
      </w:r>
      <w:r>
        <w:rPr>
          <w:rFonts w:hint="eastAsia" w:ascii="仿宋_GB2312" w:eastAsia="仿宋_GB2312"/>
          <w:b w:val="0"/>
          <w:bCs w:val="0"/>
          <w:color w:val="auto"/>
          <w:kern w:val="0"/>
          <w:sz w:val="32"/>
          <w:szCs w:val="32"/>
          <w:shd w:val="clear" w:color="FFFFFF"/>
          <w:lang w:val="en-US" w:eastAsia="zh-CN"/>
        </w:rPr>
        <w:t>10.7</w:t>
      </w:r>
      <w:r>
        <w:rPr>
          <w:rFonts w:hint="eastAsia" w:ascii="仿宋_GB2312" w:eastAsia="仿宋_GB2312"/>
          <w:b w:val="0"/>
          <w:bCs w:val="0"/>
          <w:color w:val="auto"/>
          <w:kern w:val="0"/>
          <w:sz w:val="32"/>
          <w:szCs w:val="32"/>
          <w:shd w:val="clear" w:color="FFFFFF"/>
        </w:rPr>
        <w:t>%。</w:t>
      </w:r>
      <w:r>
        <w:rPr>
          <w:rFonts w:hint="eastAsia" w:ascii="仿宋_GB2312" w:eastAsia="仿宋_GB2312"/>
          <w:b w:val="0"/>
          <w:bCs w:val="0"/>
          <w:color w:val="auto"/>
          <w:kern w:val="0"/>
          <w:sz w:val="32"/>
          <w:szCs w:val="32"/>
          <w:shd w:val="clear"/>
        </w:rPr>
        <w:t>其</w:t>
      </w:r>
      <w:r>
        <w:rPr>
          <w:rFonts w:hint="eastAsia" w:ascii="仿宋_GB2312" w:eastAsia="仿宋_GB2312"/>
          <w:color w:val="auto"/>
          <w:kern w:val="0"/>
          <w:sz w:val="32"/>
          <w:szCs w:val="32"/>
        </w:rPr>
        <w:t>中，地方一般公共预算收入</w:t>
      </w:r>
      <w:r>
        <w:rPr>
          <w:rFonts w:hint="eastAsia" w:ascii="仿宋_GB2312" w:eastAsia="仿宋_GB2312"/>
          <w:color w:val="auto"/>
          <w:kern w:val="0"/>
          <w:sz w:val="32"/>
          <w:szCs w:val="32"/>
          <w:lang w:val="en-US" w:eastAsia="zh-CN"/>
        </w:rPr>
        <w:t>13.92</w:t>
      </w:r>
      <w:r>
        <w:rPr>
          <w:rFonts w:hint="eastAsia" w:ascii="仿宋_GB2312" w:eastAsia="仿宋_GB2312"/>
          <w:color w:val="auto"/>
          <w:kern w:val="0"/>
          <w:sz w:val="32"/>
          <w:szCs w:val="32"/>
        </w:rPr>
        <w:t>亿元，</w:t>
      </w:r>
      <w:r>
        <w:rPr>
          <w:rFonts w:hint="eastAsia" w:ascii="仿宋_GB2312" w:eastAsia="仿宋_GB2312"/>
          <w:color w:val="auto"/>
          <w:kern w:val="0"/>
          <w:sz w:val="32"/>
          <w:szCs w:val="32"/>
          <w:lang w:eastAsia="zh-CN"/>
        </w:rPr>
        <w:t>比上年</w:t>
      </w:r>
      <w:r>
        <w:rPr>
          <w:rFonts w:hint="eastAsia" w:ascii="仿宋_GB2312" w:eastAsia="仿宋_GB2312"/>
          <w:color w:val="auto"/>
          <w:kern w:val="0"/>
          <w:sz w:val="32"/>
          <w:szCs w:val="32"/>
        </w:rPr>
        <w:t>增长</w:t>
      </w:r>
      <w:r>
        <w:rPr>
          <w:rFonts w:hint="eastAsia" w:ascii="仿宋_GB2312" w:eastAsia="仿宋_GB2312"/>
          <w:color w:val="auto"/>
          <w:kern w:val="0"/>
          <w:sz w:val="32"/>
          <w:szCs w:val="32"/>
          <w:lang w:val="en-US" w:eastAsia="zh-CN"/>
        </w:rPr>
        <w:t>0.3</w:t>
      </w:r>
      <w:r>
        <w:rPr>
          <w:rFonts w:hint="eastAsia" w:ascii="仿宋_GB2312" w:eastAsia="仿宋_GB2312"/>
          <w:color w:val="auto"/>
          <w:kern w:val="0"/>
          <w:sz w:val="32"/>
          <w:szCs w:val="32"/>
        </w:rPr>
        <w:t>%。</w:t>
      </w:r>
      <w:r>
        <w:rPr>
          <w:rFonts w:hint="eastAsia" w:ascii="仿宋_GB2312" w:eastAsia="仿宋_GB2312"/>
          <w:b w:val="0"/>
          <w:bCs w:val="0"/>
          <w:color w:val="auto"/>
          <w:kern w:val="0"/>
          <w:sz w:val="32"/>
          <w:szCs w:val="32"/>
        </w:rPr>
        <w:t>在地方公共财政收入中，税收收入</w:t>
      </w:r>
      <w:r>
        <w:rPr>
          <w:rFonts w:hint="eastAsia" w:ascii="仿宋_GB2312" w:eastAsia="仿宋_GB2312"/>
          <w:b w:val="0"/>
          <w:bCs w:val="0"/>
          <w:color w:val="auto"/>
          <w:kern w:val="0"/>
          <w:sz w:val="32"/>
          <w:szCs w:val="32"/>
          <w:lang w:val="en-US" w:eastAsia="zh-CN"/>
        </w:rPr>
        <w:t>7.11</w:t>
      </w:r>
      <w:r>
        <w:rPr>
          <w:rFonts w:hint="eastAsia" w:ascii="仿宋_GB2312" w:eastAsia="仿宋_GB2312"/>
          <w:b w:val="0"/>
          <w:bCs w:val="0"/>
          <w:color w:val="auto"/>
          <w:kern w:val="0"/>
          <w:sz w:val="32"/>
          <w:szCs w:val="32"/>
        </w:rPr>
        <w:t>亿元，</w:t>
      </w:r>
      <w:r>
        <w:rPr>
          <w:rFonts w:hint="eastAsia" w:ascii="仿宋_GB2312" w:eastAsia="仿宋_GB2312"/>
          <w:b w:val="0"/>
          <w:bCs w:val="0"/>
          <w:kern w:val="0"/>
          <w:sz w:val="32"/>
          <w:szCs w:val="32"/>
          <w:lang w:eastAsia="zh-CN"/>
        </w:rPr>
        <w:t>比上年下降</w:t>
      </w:r>
      <w:r>
        <w:rPr>
          <w:rFonts w:hint="eastAsia" w:ascii="仿宋_GB2312" w:eastAsia="仿宋_GB2312"/>
          <w:b w:val="0"/>
          <w:bCs w:val="0"/>
          <w:kern w:val="0"/>
          <w:sz w:val="32"/>
          <w:szCs w:val="32"/>
          <w:lang w:val="en-US" w:eastAsia="zh-CN"/>
        </w:rPr>
        <w:t>25.6</w:t>
      </w:r>
      <w:r>
        <w:rPr>
          <w:rFonts w:hint="eastAsia" w:ascii="仿宋_GB2312" w:eastAsia="仿宋_GB2312"/>
          <w:b w:val="0"/>
          <w:bCs w:val="0"/>
          <w:kern w:val="0"/>
          <w:sz w:val="32"/>
          <w:szCs w:val="32"/>
        </w:rPr>
        <w:t>%</w:t>
      </w:r>
      <w:r>
        <w:rPr>
          <w:rFonts w:hint="eastAsia" w:ascii="仿宋_GB2312" w:eastAsia="仿宋_GB2312"/>
          <w:b w:val="0"/>
          <w:bCs w:val="0"/>
          <w:kern w:val="0"/>
          <w:sz w:val="32"/>
          <w:szCs w:val="32"/>
          <w:lang w:eastAsia="zh-CN"/>
        </w:rPr>
        <w:t>，</w:t>
      </w:r>
      <w:r>
        <w:rPr>
          <w:rFonts w:hint="eastAsia" w:ascii="仿宋_GB2312" w:eastAsia="仿宋_GB2312"/>
          <w:b w:val="0"/>
          <w:bCs w:val="0"/>
          <w:kern w:val="0"/>
          <w:sz w:val="32"/>
          <w:szCs w:val="32"/>
        </w:rPr>
        <w:t>非税收入</w:t>
      </w:r>
      <w:r>
        <w:rPr>
          <w:rFonts w:hint="eastAsia" w:ascii="仿宋_GB2312" w:eastAsia="仿宋_GB2312"/>
          <w:b w:val="0"/>
          <w:bCs w:val="0"/>
          <w:kern w:val="0"/>
          <w:sz w:val="32"/>
          <w:szCs w:val="32"/>
          <w:lang w:val="en-US" w:eastAsia="zh-CN"/>
        </w:rPr>
        <w:t>6.81</w:t>
      </w:r>
      <w:r>
        <w:rPr>
          <w:rFonts w:hint="eastAsia" w:ascii="仿宋_GB2312" w:eastAsia="仿宋_GB2312"/>
          <w:b w:val="0"/>
          <w:bCs w:val="0"/>
          <w:kern w:val="0"/>
          <w:sz w:val="32"/>
          <w:szCs w:val="32"/>
        </w:rPr>
        <w:t>亿元，</w:t>
      </w:r>
      <w:r>
        <w:rPr>
          <w:rFonts w:hint="eastAsia" w:ascii="仿宋_GB2312" w:eastAsia="仿宋_GB2312"/>
          <w:b w:val="0"/>
          <w:bCs w:val="0"/>
          <w:kern w:val="0"/>
          <w:sz w:val="32"/>
          <w:szCs w:val="32"/>
          <w:lang w:eastAsia="zh-CN"/>
        </w:rPr>
        <w:t>比上年增长</w:t>
      </w:r>
      <w:r>
        <w:rPr>
          <w:rFonts w:hint="eastAsia" w:ascii="仿宋_GB2312" w:eastAsia="仿宋_GB2312"/>
          <w:b w:val="0"/>
          <w:bCs w:val="0"/>
          <w:kern w:val="0"/>
          <w:sz w:val="32"/>
          <w:szCs w:val="32"/>
          <w:lang w:val="en-US" w:eastAsia="zh-CN"/>
        </w:rPr>
        <w:t>57.9%</w:t>
      </w:r>
      <w:r>
        <w:rPr>
          <w:rFonts w:hint="eastAsia" w:ascii="仿宋_GB2312" w:eastAsia="仿宋_GB2312"/>
          <w:b w:val="0"/>
          <w:bCs w:val="0"/>
          <w:kern w:val="0"/>
          <w:sz w:val="32"/>
          <w:szCs w:val="32"/>
        </w:rPr>
        <w:t>。</w:t>
      </w:r>
    </w:p>
    <w:p>
      <w:pPr>
        <w:wordWrap/>
        <w:snapToGrid/>
        <w:spacing w:line="360" w:lineRule="auto"/>
        <w:ind w:firstLine="640" w:firstLineChars="200"/>
        <w:textAlignment w:val="auto"/>
        <w:rPr>
          <w:rFonts w:hint="eastAsia" w:ascii="仿宋_GB2312" w:hAnsi="宋体" w:eastAsia="仿宋_GB2312" w:cs="宋体"/>
          <w:color w:val="000000"/>
          <w:kern w:val="0"/>
          <w:sz w:val="32"/>
          <w:szCs w:val="20"/>
          <w:lang w:eastAsia="zh-CN"/>
        </w:rPr>
      </w:pPr>
      <w:r>
        <w:rPr>
          <w:rFonts w:hint="eastAsia" w:ascii="仿宋_GB2312" w:eastAsia="仿宋_GB2312"/>
          <w:b w:val="0"/>
          <w:bCs w:val="0"/>
          <w:kern w:val="0"/>
          <w:sz w:val="32"/>
          <w:szCs w:val="32"/>
          <w:lang w:val="en-US" w:eastAsia="zh-CN"/>
        </w:rPr>
        <w:t>2020年，</w:t>
      </w:r>
      <w:r>
        <w:rPr>
          <w:rFonts w:hint="eastAsia" w:ascii="仿宋_GB2312" w:eastAsia="仿宋_GB2312"/>
          <w:b w:val="0"/>
          <w:bCs w:val="0"/>
          <w:kern w:val="0"/>
          <w:sz w:val="32"/>
          <w:szCs w:val="32"/>
          <w:lang w:eastAsia="zh-CN"/>
        </w:rPr>
        <w:t>全市</w:t>
      </w:r>
      <w:r>
        <w:rPr>
          <w:rFonts w:hint="eastAsia" w:ascii="仿宋_GB2312" w:hAnsi="宋体" w:eastAsia="仿宋_GB2312" w:cs="宋体"/>
          <w:color w:val="000000"/>
          <w:kern w:val="0"/>
          <w:sz w:val="32"/>
          <w:szCs w:val="20"/>
        </w:rPr>
        <w:t>地方一般公共预算支出</w:t>
      </w:r>
      <w:r>
        <w:rPr>
          <w:rFonts w:hint="eastAsia" w:ascii="仿宋_GB2312" w:hAnsi="宋体" w:eastAsia="仿宋_GB2312" w:cs="宋体"/>
          <w:color w:val="000000"/>
          <w:kern w:val="0"/>
          <w:sz w:val="32"/>
          <w:szCs w:val="20"/>
          <w:lang w:val="en-US" w:eastAsia="zh-CN"/>
        </w:rPr>
        <w:t>82.23</w:t>
      </w:r>
      <w:r>
        <w:rPr>
          <w:rFonts w:hint="eastAsia" w:ascii="仿宋_GB2312" w:hAnsi="宋体" w:eastAsia="仿宋_GB2312" w:cs="宋体"/>
          <w:color w:val="000000"/>
          <w:kern w:val="0"/>
          <w:sz w:val="32"/>
          <w:szCs w:val="20"/>
        </w:rPr>
        <w:t>亿元，</w:t>
      </w:r>
      <w:r>
        <w:rPr>
          <w:rFonts w:hint="eastAsia" w:ascii="仿宋_GB2312" w:hAnsi="宋体" w:eastAsia="仿宋_GB2312" w:cs="宋体"/>
          <w:color w:val="000000"/>
          <w:kern w:val="0"/>
          <w:sz w:val="32"/>
          <w:szCs w:val="20"/>
          <w:lang w:eastAsia="zh-CN"/>
        </w:rPr>
        <w:t>比上年</w:t>
      </w:r>
      <w:r>
        <w:rPr>
          <w:rFonts w:hint="eastAsia" w:ascii="仿宋_GB2312" w:hAnsi="宋体" w:eastAsia="仿宋_GB2312" w:cs="宋体"/>
          <w:color w:val="000000"/>
          <w:kern w:val="0"/>
          <w:sz w:val="32"/>
          <w:szCs w:val="20"/>
          <w:lang w:val="en-US" w:eastAsia="zh-CN"/>
        </w:rPr>
        <w:t>增长13.2%，</w:t>
      </w:r>
      <w:r>
        <w:rPr>
          <w:rFonts w:hint="eastAsia" w:ascii="仿宋_GB2312" w:hAnsi="宋体" w:eastAsia="仿宋_GB2312" w:cs="宋体"/>
          <w:color w:val="000000"/>
          <w:kern w:val="0"/>
          <w:sz w:val="32"/>
          <w:szCs w:val="20"/>
        </w:rPr>
        <w:t>其中，</w:t>
      </w:r>
      <w:r>
        <w:rPr>
          <w:rFonts w:hint="eastAsia" w:ascii="仿宋_GB2312" w:hAnsi="宋体" w:eastAsia="仿宋_GB2312" w:cs="宋体"/>
          <w:color w:val="000000"/>
          <w:kern w:val="0"/>
          <w:sz w:val="32"/>
          <w:szCs w:val="20"/>
          <w:lang w:eastAsia="zh-CN"/>
        </w:rPr>
        <w:t>民生支出</w:t>
      </w:r>
      <w:r>
        <w:rPr>
          <w:rFonts w:hint="eastAsia" w:ascii="仿宋_GB2312" w:hAnsi="宋体" w:eastAsia="仿宋_GB2312" w:cs="宋体"/>
          <w:color w:val="000000"/>
          <w:kern w:val="0"/>
          <w:sz w:val="32"/>
          <w:szCs w:val="20"/>
          <w:lang w:val="en-US" w:eastAsia="zh-CN"/>
        </w:rPr>
        <w:t>65.65亿元，比上年</w:t>
      </w:r>
      <w:r>
        <w:rPr>
          <w:rFonts w:hint="eastAsia" w:ascii="仿宋_GB2312" w:hAnsi="宋体" w:eastAsia="仿宋_GB2312" w:cs="宋体"/>
          <w:color w:val="000000"/>
          <w:kern w:val="0"/>
          <w:sz w:val="32"/>
          <w:szCs w:val="20"/>
        </w:rPr>
        <w:t>增长</w:t>
      </w:r>
      <w:r>
        <w:rPr>
          <w:rFonts w:hint="eastAsia" w:ascii="仿宋_GB2312" w:hAnsi="宋体" w:eastAsia="仿宋_GB2312" w:cs="宋体"/>
          <w:color w:val="000000"/>
          <w:kern w:val="0"/>
          <w:sz w:val="32"/>
          <w:szCs w:val="20"/>
          <w:lang w:val="en-US" w:eastAsia="zh-CN"/>
        </w:rPr>
        <w:t>7.8</w:t>
      </w:r>
      <w:r>
        <w:rPr>
          <w:rFonts w:hint="eastAsia" w:ascii="仿宋_GB2312" w:hAnsi="宋体" w:eastAsia="仿宋_GB2312" w:cs="宋体"/>
          <w:color w:val="000000"/>
          <w:kern w:val="0"/>
          <w:sz w:val="32"/>
          <w:szCs w:val="20"/>
        </w:rPr>
        <w:t>%</w:t>
      </w:r>
      <w:r>
        <w:rPr>
          <w:rFonts w:hint="eastAsia" w:ascii="仿宋_GB2312" w:hAnsi="宋体" w:eastAsia="仿宋_GB2312" w:cs="宋体"/>
          <w:color w:val="000000"/>
          <w:kern w:val="0"/>
          <w:sz w:val="32"/>
          <w:szCs w:val="20"/>
          <w:lang w:eastAsia="zh-CN"/>
        </w:rPr>
        <w:t>。</w:t>
      </w:r>
    </w:p>
    <w:p>
      <w:pPr>
        <w:widowControl/>
        <w:pBdr>
          <w:top w:val="none" w:color="auto" w:sz="0" w:space="0"/>
          <w:left w:val="none" w:color="auto" w:sz="0" w:space="0"/>
          <w:bottom w:val="none" w:color="auto" w:sz="0" w:space="0"/>
          <w:right w:val="none" w:color="auto" w:sz="0" w:space="0"/>
        </w:pBdr>
        <w:wordWrap/>
        <w:snapToGrid/>
        <w:spacing w:beforeAutospacing="0" w:afterAutospacing="0" w:line="360" w:lineRule="auto"/>
        <w:ind w:left="0" w:leftChars="0" w:right="0"/>
        <w:jc w:val="center"/>
        <w:rPr>
          <w:sz w:val="21"/>
          <w:szCs w:val="21"/>
        </w:rPr>
      </w:pPr>
      <w:r>
        <w:rPr>
          <w:rFonts w:hint="eastAsia" w:ascii="宋体" w:hAnsi="宋体" w:eastAsia="宋体" w:cs="宋体"/>
          <w:b/>
          <w:i w:val="0"/>
          <w:caps w:val="0"/>
          <w:color w:val="auto"/>
          <w:spacing w:val="0"/>
          <w:kern w:val="0"/>
          <w:sz w:val="32"/>
          <w:szCs w:val="32"/>
          <w:lang w:val="en-US" w:eastAsia="zh-CN"/>
        </w:rPr>
        <w:t>表4　20</w:t>
      </w:r>
      <w:r>
        <w:rPr>
          <w:rFonts w:hint="eastAsia" w:ascii="宋体" w:hAnsi="宋体" w:eastAsia="宋体" w:cs="宋体"/>
          <w:b/>
          <w:i w:val="0"/>
          <w:caps w:val="0"/>
          <w:color w:val="000000"/>
          <w:spacing w:val="0"/>
          <w:kern w:val="0"/>
          <w:sz w:val="32"/>
          <w:szCs w:val="32"/>
          <w:lang w:val="en-US" w:eastAsia="zh-CN"/>
        </w:rPr>
        <w:t>20年财政收支情况</w:t>
      </w:r>
    </w:p>
    <w:tbl>
      <w:tblPr>
        <w:tblStyle w:val="7"/>
        <w:tblpPr w:leftFromText="180" w:rightFromText="180" w:vertAnchor="text" w:horzAnchor="page" w:tblpX="1039" w:tblpY="139"/>
        <w:tblOverlap w:val="neve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556"/>
        <w:gridCol w:w="1419"/>
        <w:gridCol w:w="1275"/>
        <w:gridCol w:w="2241"/>
        <w:gridCol w:w="1389"/>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rPr>
        <w:tc>
          <w:tcPr>
            <w:tcW w:w="255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指 标</w:t>
            </w:r>
          </w:p>
        </w:tc>
        <w:tc>
          <w:tcPr>
            <w:tcW w:w="269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财政收入情况</w:t>
            </w:r>
          </w:p>
        </w:tc>
        <w:tc>
          <w:tcPr>
            <w:tcW w:w="224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指 标</w:t>
            </w:r>
          </w:p>
        </w:tc>
        <w:tc>
          <w:tcPr>
            <w:tcW w:w="266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财政支出情况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ordWrap/>
              <w:snapToGrid/>
              <w:spacing w:line="360" w:lineRule="auto"/>
              <w:jc w:val="center"/>
              <w:rPr>
                <w:rFonts w:hint="eastAsia" w:ascii="宋体" w:hAnsi="宋体" w:eastAsia="宋体" w:cs="宋体"/>
                <w:b/>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总量</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比上年增长</w:t>
            </w:r>
          </w:p>
        </w:tc>
        <w:tc>
          <w:tcPr>
            <w:tcW w:w="224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ordWrap/>
              <w:snapToGrid/>
              <w:spacing w:line="360" w:lineRule="auto"/>
              <w:jc w:val="center"/>
              <w:rPr>
                <w:rFonts w:hint="eastAsia" w:ascii="宋体" w:hAnsi="宋体" w:eastAsia="宋体" w:cs="宋体"/>
                <w:b/>
                <w:i w:val="0"/>
                <w:color w:val="auto"/>
                <w:sz w:val="22"/>
                <w:szCs w:val="22"/>
                <w:u w:val="none"/>
              </w:rPr>
            </w:pP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总量</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比上年增长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255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ordWrap/>
              <w:snapToGrid/>
              <w:spacing w:line="360" w:lineRule="auto"/>
              <w:jc w:val="center"/>
              <w:rPr>
                <w:rFonts w:hint="eastAsia" w:ascii="宋体" w:hAnsi="宋体" w:eastAsia="宋体" w:cs="宋体"/>
                <w:b/>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（万元）</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w:t>
            </w:r>
          </w:p>
        </w:tc>
        <w:tc>
          <w:tcPr>
            <w:tcW w:w="224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ordWrap/>
              <w:snapToGrid/>
              <w:spacing w:line="360" w:lineRule="auto"/>
              <w:jc w:val="center"/>
              <w:rPr>
                <w:rFonts w:hint="eastAsia" w:ascii="宋体" w:hAnsi="宋体" w:eastAsia="宋体" w:cs="宋体"/>
                <w:b/>
                <w:i w:val="0"/>
                <w:color w:val="auto"/>
                <w:sz w:val="22"/>
                <w:szCs w:val="22"/>
                <w:u w:val="none"/>
              </w:rPr>
            </w:pP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（万元）</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left"/>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全口径一般公共预算收入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default"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rPr>
              <w:t>249359</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default"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rPr>
              <w:t>-10.7</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left"/>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地方一般公共预算支出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822311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left"/>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地方一般公共预算收入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139180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0.3</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民生支出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656545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left"/>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rPr>
              <w:t xml:space="preserve"> 1.地方税收收入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rPr>
              <w:t xml:space="preserve">71110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rPr>
              <w:t>-25.6</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一般公共服务支出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62288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11</w:t>
            </w:r>
            <w:r>
              <w:rPr>
                <w:rFonts w:hint="eastAsia" w:ascii="宋体" w:hAnsi="宋体" w:cs="宋体"/>
                <w:i w:val="0"/>
                <w:color w:val="auto"/>
                <w:kern w:val="0"/>
                <w:sz w:val="21"/>
                <w:szCs w:val="21"/>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增值税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19999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-31</w:t>
            </w:r>
            <w:r>
              <w:rPr>
                <w:rFonts w:hint="eastAsia" w:ascii="宋体" w:hAnsi="宋体" w:cs="宋体"/>
                <w:i w:val="0"/>
                <w:color w:val="auto"/>
                <w:kern w:val="0"/>
                <w:sz w:val="21"/>
                <w:szCs w:val="21"/>
                <w:u w:val="none"/>
                <w:lang w:val="en-US" w:eastAsia="zh-CN"/>
              </w:rPr>
              <w:t>.0</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国防支出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1346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w:t>
            </w:r>
            <w:r>
              <w:rPr>
                <w:rFonts w:hint="eastAsia" w:ascii="宋体" w:hAnsi="宋体" w:cs="宋体"/>
                <w:i w:val="0"/>
                <w:color w:val="auto"/>
                <w:kern w:val="0"/>
                <w:sz w:val="21"/>
                <w:szCs w:val="21"/>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企业所得税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12628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13.6</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公共安全支出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22041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-12</w:t>
            </w:r>
            <w:r>
              <w:rPr>
                <w:rFonts w:hint="eastAsia" w:ascii="宋体" w:hAnsi="宋体" w:cs="宋体"/>
                <w:i w:val="0"/>
                <w:color w:val="auto"/>
                <w:kern w:val="0"/>
                <w:sz w:val="21"/>
                <w:szCs w:val="21"/>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个人所得税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3193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-24.7</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教育支出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148412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14</w:t>
            </w:r>
            <w:r>
              <w:rPr>
                <w:rFonts w:hint="eastAsia" w:ascii="宋体" w:hAnsi="宋体" w:cs="宋体"/>
                <w:i w:val="0"/>
                <w:color w:val="auto"/>
                <w:kern w:val="0"/>
                <w:sz w:val="21"/>
                <w:szCs w:val="21"/>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资源税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3324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27.6</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科学技术支出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9831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40.9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城市维护建设税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2784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-12.3</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文化旅游体育与传媒支出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7081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房产税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3427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-18.7</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社会保障和就业支出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120972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32</w:t>
            </w:r>
            <w:r>
              <w:rPr>
                <w:rFonts w:hint="eastAsia" w:ascii="宋体" w:hAnsi="宋体" w:cs="宋体"/>
                <w:i w:val="0"/>
                <w:color w:val="auto"/>
                <w:kern w:val="0"/>
                <w:sz w:val="21"/>
                <w:szCs w:val="21"/>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印花税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1290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-21.3</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卫生健康支出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94446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城镇土地使用税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4155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-25.8</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节能环保支出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47467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-25</w:t>
            </w:r>
            <w:r>
              <w:rPr>
                <w:rFonts w:hint="eastAsia" w:ascii="宋体" w:hAnsi="宋体" w:cs="宋体"/>
                <w:i w:val="0"/>
                <w:color w:val="auto"/>
                <w:kern w:val="0"/>
                <w:sz w:val="21"/>
                <w:szCs w:val="21"/>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土地增值税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10764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-37.3</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城乡社区支出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53415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车船税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1696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2.4</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农林水支出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153018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耕地占用税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3314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-66.1</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交通运输支出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10394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-59</w:t>
            </w:r>
            <w:r>
              <w:rPr>
                <w:rFonts w:hint="eastAsia" w:ascii="宋体" w:hAnsi="宋体" w:cs="宋体"/>
                <w:i w:val="0"/>
                <w:color w:val="auto"/>
                <w:kern w:val="0"/>
                <w:sz w:val="21"/>
                <w:szCs w:val="21"/>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契  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4425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-17.3</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资源勘探工业信息等支出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1000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环境保护税</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26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100</w:t>
            </w:r>
            <w:r>
              <w:rPr>
                <w:rFonts w:hint="eastAsia" w:ascii="宋体" w:hAnsi="宋体" w:cs="宋体"/>
                <w:i w:val="0"/>
                <w:color w:val="auto"/>
                <w:kern w:val="0"/>
                <w:sz w:val="21"/>
                <w:szCs w:val="21"/>
                <w:u w:val="none"/>
                <w:lang w:val="en-US" w:eastAsia="zh-CN"/>
              </w:rPr>
              <w:t>.0</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商业服务业等支出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304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其他税收收入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85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18.1</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金融支出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30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ordWrap/>
              <w:snapToGrid/>
              <w:spacing w:line="360" w:lineRule="auto"/>
              <w:jc w:val="center"/>
              <w:rPr>
                <w:rFonts w:hint="eastAsia" w:ascii="宋体" w:hAnsi="宋体" w:eastAsia="宋体" w:cs="宋体"/>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left"/>
              <w:textAlignment w:val="center"/>
              <w:rPr>
                <w:rFonts w:hint="eastAsia" w:ascii="宋体" w:hAnsi="宋体" w:eastAsia="宋体" w:cs="宋体"/>
                <w:b/>
                <w:bCs w:val="0"/>
                <w:i w:val="0"/>
                <w:color w:val="auto"/>
                <w:sz w:val="20"/>
                <w:szCs w:val="20"/>
                <w:u w:val="none"/>
              </w:rPr>
            </w:pPr>
            <w:r>
              <w:rPr>
                <w:rFonts w:hint="eastAsia" w:ascii="宋体" w:hAnsi="宋体" w:eastAsia="宋体" w:cs="宋体"/>
                <w:b/>
                <w:bCs w:val="0"/>
                <w:i w:val="0"/>
                <w:color w:val="auto"/>
                <w:kern w:val="0"/>
                <w:sz w:val="20"/>
                <w:szCs w:val="20"/>
                <w:u w:val="none"/>
                <w:lang w:val="en-US" w:eastAsia="zh-CN"/>
              </w:rPr>
              <w:t xml:space="preserve">   </w:t>
            </w:r>
            <w:r>
              <w:rPr>
                <w:rStyle w:val="17"/>
                <w:b/>
                <w:bCs w:val="0"/>
                <w:color w:val="auto"/>
                <w:lang w:val="en-US" w:eastAsia="zh-CN"/>
              </w:rPr>
              <w:t>2</w:t>
            </w:r>
            <w:r>
              <w:rPr>
                <w:rFonts w:hint="eastAsia" w:ascii="宋体" w:hAnsi="宋体" w:eastAsia="宋体" w:cs="宋体"/>
                <w:b/>
                <w:bCs w:val="0"/>
                <w:i w:val="0"/>
                <w:color w:val="auto"/>
                <w:kern w:val="0"/>
                <w:sz w:val="21"/>
                <w:szCs w:val="21"/>
                <w:u w:val="none"/>
                <w:lang w:val="en-US" w:eastAsia="zh-CN"/>
              </w:rPr>
              <w:t>.非税收入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bCs w:val="0"/>
                <w:i w:val="0"/>
                <w:color w:val="auto"/>
                <w:sz w:val="21"/>
                <w:szCs w:val="21"/>
                <w:u w:val="none"/>
              </w:rPr>
            </w:pPr>
            <w:r>
              <w:rPr>
                <w:rFonts w:hint="eastAsia" w:ascii="宋体" w:hAnsi="宋体" w:eastAsia="宋体" w:cs="宋体"/>
                <w:b/>
                <w:bCs w:val="0"/>
                <w:i w:val="0"/>
                <w:color w:val="auto"/>
                <w:kern w:val="0"/>
                <w:sz w:val="21"/>
                <w:szCs w:val="21"/>
                <w:u w:val="none"/>
                <w:lang w:val="en-US" w:eastAsia="zh-CN"/>
              </w:rPr>
              <w:t xml:space="preserve">68070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b/>
                <w:bCs w:val="0"/>
                <w:i w:val="0"/>
                <w:color w:val="auto"/>
                <w:sz w:val="21"/>
                <w:szCs w:val="21"/>
                <w:u w:val="none"/>
              </w:rPr>
            </w:pPr>
            <w:r>
              <w:rPr>
                <w:rFonts w:hint="eastAsia" w:ascii="宋体" w:hAnsi="宋体" w:eastAsia="宋体" w:cs="宋体"/>
                <w:b/>
                <w:bCs w:val="0"/>
                <w:i w:val="0"/>
                <w:color w:val="auto"/>
                <w:kern w:val="0"/>
                <w:sz w:val="21"/>
                <w:szCs w:val="21"/>
                <w:u w:val="none"/>
                <w:lang w:val="en-US" w:eastAsia="zh-CN"/>
              </w:rPr>
              <w:t>57.9</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自然资源海洋气象等支出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38475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500.7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专项收入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18928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149.5</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住房保障支出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12445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22</w:t>
            </w:r>
            <w:r>
              <w:rPr>
                <w:rFonts w:hint="eastAsia" w:ascii="宋体" w:hAnsi="宋体" w:cs="宋体"/>
                <w:i w:val="0"/>
                <w:color w:val="auto"/>
                <w:kern w:val="0"/>
                <w:sz w:val="21"/>
                <w:szCs w:val="21"/>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行政事业性收费收入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3798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25.5</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粮油物资储备支出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8895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734.4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罚没收入</w:t>
            </w:r>
          </w:p>
        </w:tc>
        <w:tc>
          <w:tcPr>
            <w:tcW w:w="14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7676 </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32.3</w:t>
            </w:r>
          </w:p>
        </w:tc>
        <w:tc>
          <w:tcPr>
            <w:tcW w:w="22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灾害防治及应急管理支出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4615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kern w:val="0"/>
                <w:sz w:val="21"/>
                <w:szCs w:val="21"/>
                <w:u w:val="none"/>
                <w:lang w:val="en-US" w:eastAsia="zh-CN"/>
              </w:rPr>
            </w:pPr>
            <w:r>
              <w:rPr>
                <w:rFonts w:hint="eastAsia" w:ascii="宋体" w:hAnsi="宋体" w:eastAsia="宋体" w:cs="宋体"/>
                <w:i w:val="0"/>
                <w:color w:val="auto"/>
                <w:kern w:val="0"/>
                <w:sz w:val="21"/>
                <w:szCs w:val="21"/>
                <w:u w:val="none"/>
                <w:lang w:val="en-US" w:eastAsia="zh-CN"/>
              </w:rPr>
              <w:t xml:space="preserve">     国有资源(资产)</w:t>
            </w:r>
          </w:p>
          <w:p>
            <w:pPr>
              <w:widowControl/>
              <w:wordWrap/>
              <w:snapToGrid/>
              <w:spacing w:line="360" w:lineRule="auto"/>
              <w:ind w:firstLine="420" w:firstLineChars="200"/>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有偿使用收入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24293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1.3</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其他支出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6058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311.8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捐赠收入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400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70.9</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债务付息支出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19649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政府住房基金收入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443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8.8</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债务发行费用支出</w:t>
            </w: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129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5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     其他收入</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 xml:space="preserve">12532 </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wordWrap/>
              <w:snapToGrid/>
              <w:spacing w:line="36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506</w:t>
            </w:r>
            <w:r>
              <w:rPr>
                <w:rFonts w:hint="eastAsia" w:ascii="宋体" w:hAnsi="宋体" w:cs="宋体"/>
                <w:i w:val="0"/>
                <w:color w:val="auto"/>
                <w:kern w:val="0"/>
                <w:sz w:val="21"/>
                <w:szCs w:val="21"/>
                <w:u w:val="none"/>
                <w:lang w:val="en-US" w:eastAsia="zh-CN"/>
              </w:rPr>
              <w:t>.0</w:t>
            </w:r>
          </w:p>
        </w:tc>
        <w:tc>
          <w:tcPr>
            <w:tcW w:w="22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ordWrap/>
              <w:snapToGrid/>
              <w:spacing w:line="360" w:lineRule="auto"/>
              <w:jc w:val="both"/>
              <w:rPr>
                <w:rFonts w:hint="eastAsia" w:ascii="宋体" w:hAnsi="宋体" w:eastAsia="宋体" w:cs="宋体"/>
                <w:i w:val="0"/>
                <w:color w:val="auto"/>
                <w:sz w:val="21"/>
                <w:szCs w:val="21"/>
                <w:u w:val="none"/>
              </w:rPr>
            </w:pPr>
          </w:p>
        </w:tc>
        <w:tc>
          <w:tcPr>
            <w:tcW w:w="13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ordWrap/>
              <w:snapToGrid/>
              <w:spacing w:line="360" w:lineRule="auto"/>
              <w:jc w:val="center"/>
              <w:rPr>
                <w:rFonts w:hint="eastAsia" w:ascii="宋体" w:hAnsi="宋体" w:eastAsia="宋体" w:cs="宋体"/>
                <w:i w:val="0"/>
                <w:color w:val="auto"/>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wordWrap/>
              <w:snapToGrid/>
              <w:spacing w:line="360" w:lineRule="auto"/>
              <w:rPr>
                <w:rFonts w:hint="eastAsia" w:ascii="宋体" w:hAnsi="宋体" w:eastAsia="宋体" w:cs="宋体"/>
                <w:i w:val="0"/>
                <w:color w:val="auto"/>
                <w:sz w:val="24"/>
                <w:szCs w:val="24"/>
                <w:u w:val="none"/>
              </w:rPr>
            </w:pPr>
          </w:p>
        </w:tc>
      </w:tr>
    </w:tbl>
    <w:p>
      <w:pPr>
        <w:pStyle w:val="11"/>
        <w:wordWrap/>
        <w:snapToGrid/>
        <w:spacing w:line="360" w:lineRule="auto"/>
        <w:rPr>
          <w:rFonts w:hint="eastAsia"/>
          <w:lang w:eastAsia="zh-CN"/>
        </w:rPr>
      </w:pPr>
    </w:p>
    <w:p>
      <w:pPr>
        <w:pageBreakBefore w:val="0"/>
        <w:widowControl/>
        <w:kinsoku/>
        <w:wordWrap/>
        <w:overflowPunct/>
        <w:topLinePunct w:val="0"/>
        <w:bidi w:val="0"/>
        <w:snapToGrid/>
        <w:spacing w:line="360" w:lineRule="auto"/>
        <w:ind w:right="0" w:rightChars="0" w:firstLine="640" w:firstLineChars="200"/>
        <w:rPr>
          <w:rFonts w:hint="eastAsia" w:ascii="仿宋_GB2312" w:eastAsia="仿宋_GB2312"/>
          <w:kern w:val="0"/>
          <w:sz w:val="32"/>
          <w:szCs w:val="32"/>
        </w:rPr>
      </w:pPr>
      <w:r>
        <w:rPr>
          <w:rFonts w:hint="eastAsia" w:ascii="仿宋_GB2312" w:eastAsia="仿宋_GB2312"/>
          <w:kern w:val="0"/>
          <w:sz w:val="32"/>
          <w:szCs w:val="32"/>
          <w:lang w:eastAsia="zh-CN"/>
        </w:rPr>
        <w:t>年末全市</w:t>
      </w:r>
      <w:r>
        <w:rPr>
          <w:rFonts w:hint="eastAsia" w:ascii="仿宋_GB2312" w:eastAsia="仿宋_GB2312"/>
          <w:kern w:val="0"/>
          <w:sz w:val="32"/>
          <w:szCs w:val="32"/>
        </w:rPr>
        <w:t>金融机构人民币各项存款余额</w:t>
      </w:r>
      <w:r>
        <w:rPr>
          <w:rFonts w:hint="eastAsia" w:ascii="仿宋_GB2312" w:eastAsia="仿宋_GB2312"/>
          <w:kern w:val="0"/>
          <w:sz w:val="32"/>
          <w:szCs w:val="32"/>
          <w:lang w:val="en-US" w:eastAsia="zh-CN"/>
        </w:rPr>
        <w:t>411.95</w:t>
      </w:r>
      <w:r>
        <w:rPr>
          <w:rFonts w:hint="eastAsia" w:ascii="仿宋_GB2312" w:eastAsia="仿宋_GB2312"/>
          <w:kern w:val="0"/>
          <w:sz w:val="32"/>
          <w:szCs w:val="32"/>
        </w:rPr>
        <w:t>亿元，</w:t>
      </w:r>
      <w:r>
        <w:rPr>
          <w:rFonts w:hint="eastAsia" w:ascii="仿宋_GB2312" w:eastAsia="仿宋_GB2312"/>
          <w:kern w:val="0"/>
          <w:sz w:val="32"/>
          <w:szCs w:val="32"/>
          <w:lang w:eastAsia="zh-CN"/>
        </w:rPr>
        <w:t>比上年</w:t>
      </w:r>
      <w:r>
        <w:rPr>
          <w:rFonts w:hint="eastAsia" w:ascii="仿宋_GB2312" w:eastAsia="仿宋_GB2312"/>
          <w:kern w:val="0"/>
          <w:sz w:val="32"/>
          <w:szCs w:val="32"/>
        </w:rPr>
        <w:t>增长</w:t>
      </w:r>
      <w:r>
        <w:rPr>
          <w:rFonts w:hint="eastAsia" w:ascii="仿宋_GB2312" w:eastAsia="仿宋_GB2312"/>
          <w:kern w:val="0"/>
          <w:sz w:val="32"/>
          <w:szCs w:val="32"/>
          <w:lang w:val="en-US" w:eastAsia="zh-CN"/>
        </w:rPr>
        <w:t>8.6</w:t>
      </w:r>
      <w:r>
        <w:rPr>
          <w:rFonts w:hint="eastAsia" w:ascii="仿宋_GB2312" w:eastAsia="仿宋_GB2312"/>
          <w:kern w:val="0"/>
          <w:sz w:val="32"/>
          <w:szCs w:val="32"/>
        </w:rPr>
        <w:t>%</w:t>
      </w:r>
      <w:r>
        <w:rPr>
          <w:rFonts w:hint="eastAsia" w:ascii="仿宋_GB2312" w:eastAsia="仿宋_GB2312"/>
          <w:kern w:val="0"/>
          <w:sz w:val="32"/>
          <w:szCs w:val="32"/>
          <w:lang w:eastAsia="zh-CN"/>
        </w:rPr>
        <w:t>。</w:t>
      </w:r>
      <w:r>
        <w:rPr>
          <w:rFonts w:hint="eastAsia" w:ascii="仿宋_GB2312" w:eastAsia="仿宋_GB2312"/>
          <w:kern w:val="0"/>
          <w:sz w:val="32"/>
          <w:szCs w:val="32"/>
        </w:rPr>
        <w:t>其中，住户存款</w:t>
      </w:r>
      <w:r>
        <w:rPr>
          <w:rFonts w:hint="eastAsia" w:ascii="仿宋_GB2312" w:eastAsia="仿宋_GB2312"/>
          <w:kern w:val="0"/>
          <w:sz w:val="32"/>
          <w:szCs w:val="32"/>
          <w:lang w:val="en-US" w:eastAsia="zh-CN"/>
        </w:rPr>
        <w:t>286.62</w:t>
      </w:r>
      <w:r>
        <w:rPr>
          <w:rFonts w:hint="eastAsia" w:ascii="仿宋_GB2312" w:eastAsia="仿宋_GB2312"/>
          <w:kern w:val="0"/>
          <w:sz w:val="32"/>
          <w:szCs w:val="32"/>
        </w:rPr>
        <w:t>亿元，</w:t>
      </w:r>
      <w:r>
        <w:rPr>
          <w:rFonts w:hint="eastAsia" w:ascii="仿宋_GB2312" w:eastAsia="仿宋_GB2312"/>
          <w:kern w:val="0"/>
          <w:sz w:val="32"/>
          <w:szCs w:val="32"/>
          <w:lang w:eastAsia="zh-CN"/>
        </w:rPr>
        <w:t>比上年增长</w:t>
      </w:r>
      <w:r>
        <w:rPr>
          <w:rFonts w:hint="eastAsia" w:ascii="仿宋_GB2312" w:eastAsia="仿宋_GB2312"/>
          <w:kern w:val="0"/>
          <w:sz w:val="32"/>
          <w:szCs w:val="32"/>
          <w:lang w:val="en-US" w:eastAsia="zh-CN"/>
        </w:rPr>
        <w:t>12.6</w:t>
      </w:r>
      <w:r>
        <w:rPr>
          <w:rFonts w:hint="eastAsia" w:ascii="仿宋_GB2312" w:eastAsia="仿宋_GB2312"/>
          <w:kern w:val="0"/>
          <w:sz w:val="32"/>
          <w:szCs w:val="32"/>
        </w:rPr>
        <w:t>%。金融机构人民币各项贷款余额</w:t>
      </w:r>
      <w:r>
        <w:rPr>
          <w:rFonts w:hint="eastAsia" w:ascii="仿宋_GB2312" w:eastAsia="仿宋_GB2312"/>
          <w:kern w:val="0"/>
          <w:sz w:val="32"/>
          <w:szCs w:val="32"/>
          <w:lang w:val="en-US" w:eastAsia="zh-CN"/>
        </w:rPr>
        <w:t>189.72</w:t>
      </w:r>
      <w:r>
        <w:rPr>
          <w:rFonts w:hint="eastAsia" w:ascii="仿宋_GB2312" w:eastAsia="仿宋_GB2312"/>
          <w:kern w:val="0"/>
          <w:sz w:val="32"/>
          <w:szCs w:val="32"/>
        </w:rPr>
        <w:t>亿元，</w:t>
      </w:r>
      <w:r>
        <w:rPr>
          <w:rFonts w:hint="eastAsia" w:ascii="仿宋_GB2312" w:eastAsia="仿宋_GB2312"/>
          <w:kern w:val="0"/>
          <w:sz w:val="32"/>
          <w:szCs w:val="32"/>
          <w:lang w:eastAsia="zh-CN"/>
        </w:rPr>
        <w:t>比上年</w:t>
      </w:r>
      <w:r>
        <w:rPr>
          <w:rFonts w:hint="eastAsia" w:ascii="仿宋_GB2312" w:eastAsia="仿宋_GB2312"/>
          <w:kern w:val="0"/>
          <w:sz w:val="32"/>
          <w:szCs w:val="32"/>
        </w:rPr>
        <w:t>增长</w:t>
      </w:r>
      <w:r>
        <w:rPr>
          <w:rFonts w:hint="eastAsia" w:ascii="仿宋_GB2312" w:eastAsia="仿宋_GB2312"/>
          <w:kern w:val="0"/>
          <w:sz w:val="32"/>
          <w:szCs w:val="32"/>
          <w:lang w:val="en-US" w:eastAsia="zh-CN"/>
        </w:rPr>
        <w:t>11.9</w:t>
      </w:r>
      <w:r>
        <w:rPr>
          <w:rFonts w:hint="eastAsia" w:ascii="仿宋_GB2312" w:eastAsia="仿宋_GB2312"/>
          <w:kern w:val="0"/>
          <w:sz w:val="32"/>
          <w:szCs w:val="32"/>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jc w:val="center"/>
        <w:rPr>
          <w:rFonts w:hint="eastAsia" w:ascii="宋体" w:hAnsi="宋体" w:eastAsia="宋体" w:cs="宋体"/>
          <w:b/>
          <w:i w:val="0"/>
          <w:caps w:val="0"/>
          <w:color w:val="000000"/>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jc w:val="center"/>
        <w:rPr>
          <w:rFonts w:hint="eastAsia" w:ascii="宋体" w:hAnsi="宋体" w:eastAsia="宋体" w:cs="宋体"/>
          <w:b/>
          <w:i w:val="0"/>
          <w:caps w:val="0"/>
          <w:color w:val="000000"/>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jc w:val="center"/>
        <w:rPr>
          <w:rFonts w:hint="eastAsia" w:ascii="宋体" w:hAnsi="宋体" w:eastAsia="宋体" w:cs="宋体"/>
          <w:b/>
          <w:i w:val="0"/>
          <w:caps w:val="0"/>
          <w:color w:val="000000"/>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jc w:val="center"/>
        <w:rPr>
          <w:rFonts w:hint="eastAsia" w:ascii="宋体" w:hAnsi="宋体" w:eastAsia="宋体" w:cs="宋体"/>
          <w:b/>
          <w:i w:val="0"/>
          <w:caps w:val="0"/>
          <w:color w:val="000000"/>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jc w:val="center"/>
        <w:rPr>
          <w:rFonts w:hint="eastAsia" w:ascii="宋体" w:hAnsi="宋体" w:eastAsia="宋体" w:cs="宋体"/>
          <w:b/>
          <w:i w:val="0"/>
          <w:caps w:val="0"/>
          <w:color w:val="000000"/>
          <w:spacing w:val="0"/>
          <w:kern w:val="0"/>
          <w:sz w:val="32"/>
          <w:szCs w:val="32"/>
          <w:lang w:val="en-US" w:eastAsia="zh-CN" w:bidi="ar"/>
        </w:rPr>
      </w:pPr>
      <w:r>
        <w:rPr>
          <w:rFonts w:hint="eastAsia" w:ascii="宋体" w:hAnsi="宋体" w:eastAsia="宋体" w:cs="宋体"/>
          <w:b/>
          <w:i w:val="0"/>
          <w:caps w:val="0"/>
          <w:color w:val="000000"/>
          <w:spacing w:val="0"/>
          <w:kern w:val="0"/>
          <w:sz w:val="32"/>
          <w:szCs w:val="32"/>
          <w:lang w:val="en-US" w:eastAsia="zh-CN" w:bidi="ar"/>
        </w:rPr>
        <w:t>表5</w:t>
      </w:r>
      <w:r>
        <w:rPr>
          <w:rFonts w:hint="eastAsia" w:ascii="宋体" w:hAnsi="宋体" w:eastAsia="宋体" w:cs="宋体"/>
          <w:b w:val="0"/>
          <w:i w:val="0"/>
          <w:caps w:val="0"/>
          <w:color w:val="000000"/>
          <w:spacing w:val="0"/>
          <w:kern w:val="0"/>
          <w:sz w:val="32"/>
          <w:szCs w:val="32"/>
          <w:lang w:val="en-US" w:eastAsia="zh-CN" w:bidi="ar"/>
        </w:rPr>
        <w:t> </w:t>
      </w:r>
      <w:r>
        <w:rPr>
          <w:rFonts w:hint="eastAsia" w:ascii="宋体" w:hAnsi="宋体" w:eastAsia="宋体" w:cs="宋体"/>
          <w:b/>
          <w:i w:val="0"/>
          <w:caps w:val="0"/>
          <w:color w:val="000000"/>
          <w:spacing w:val="0"/>
          <w:kern w:val="0"/>
          <w:sz w:val="32"/>
          <w:szCs w:val="32"/>
          <w:lang w:val="en-US" w:eastAsia="zh-CN" w:bidi="ar"/>
        </w:rPr>
        <w:t>2020年金融机构人民币存贷款余额及其增长速度</w:t>
      </w:r>
    </w:p>
    <w:tbl>
      <w:tblPr>
        <w:tblStyle w:val="7"/>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3015"/>
        <w:gridCol w:w="1440"/>
        <w:gridCol w:w="1365"/>
        <w:gridCol w:w="990"/>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60" w:hRule="atLeast"/>
        </w:trPr>
        <w:tc>
          <w:tcPr>
            <w:tcW w:w="3015" w:type="dxa"/>
            <w:vMerge w:val="restart"/>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0"/>
                <w:szCs w:val="20"/>
                <w:u w:val="none"/>
              </w:rPr>
            </w:pPr>
          </w:p>
        </w:tc>
        <w:tc>
          <w:tcPr>
            <w:tcW w:w="1440" w:type="dxa"/>
            <w:vMerge w:val="restart"/>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2020年</w:t>
            </w:r>
          </w:p>
        </w:tc>
        <w:tc>
          <w:tcPr>
            <w:tcW w:w="2355" w:type="dxa"/>
            <w:gridSpan w:val="2"/>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比年初增减</w:t>
            </w:r>
          </w:p>
        </w:tc>
        <w:tc>
          <w:tcPr>
            <w:tcW w:w="1695" w:type="dxa"/>
            <w:vMerge w:val="restar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与去年同期比</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5" w:hRule="atLeast"/>
        </w:trPr>
        <w:tc>
          <w:tcPr>
            <w:tcW w:w="3015" w:type="dxa"/>
            <w:vMerge w:val="continue"/>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0"/>
                <w:szCs w:val="20"/>
                <w:u w:val="none"/>
              </w:rPr>
            </w:pPr>
          </w:p>
        </w:tc>
        <w:tc>
          <w:tcPr>
            <w:tcW w:w="1440" w:type="dxa"/>
            <w:vMerge w:val="continue"/>
            <w:shd w:val="clear" w:color="auto" w:fill="auto"/>
            <w:noWrap/>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0"/>
                <w:szCs w:val="20"/>
                <w:u w:val="none"/>
              </w:rPr>
            </w:pPr>
          </w:p>
        </w:tc>
        <w:tc>
          <w:tcPr>
            <w:tcW w:w="136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绝对数</w:t>
            </w:r>
          </w:p>
        </w:tc>
        <w:tc>
          <w:tcPr>
            <w:tcW w:w="99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增减%</w:t>
            </w:r>
          </w:p>
        </w:tc>
        <w:tc>
          <w:tcPr>
            <w:tcW w:w="1695" w:type="dxa"/>
            <w:vMerge w:val="continue"/>
            <w:shd w:val="clear" w:color="auto" w:fill="auto"/>
            <w:tcMar>
              <w:top w:w="15" w:type="dxa"/>
              <w:left w:w="15" w:type="dxa"/>
              <w:right w:w="15" w:type="dxa"/>
            </w:tcMar>
            <w:vAlign w:val="center"/>
          </w:tcPr>
          <w:p>
            <w:pPr>
              <w:pageBreakBefore w:val="0"/>
              <w:kinsoku/>
              <w:wordWrap/>
              <w:overflowPunct/>
              <w:topLinePunct w:val="0"/>
              <w:bidi w:val="0"/>
              <w:snapToGrid/>
              <w:spacing w:line="360" w:lineRule="auto"/>
              <w:jc w:val="center"/>
              <w:rPr>
                <w:rFonts w:hint="eastAsia" w:ascii="宋体" w:hAnsi="宋体" w:eastAsia="宋体" w:cs="宋体"/>
                <w:i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39" w:hRule="atLeast"/>
        </w:trPr>
        <w:tc>
          <w:tcPr>
            <w:tcW w:w="30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一、 各项存款余额</w:t>
            </w:r>
          </w:p>
        </w:tc>
        <w:tc>
          <w:tcPr>
            <w:tcW w:w="144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4119532 </w:t>
            </w:r>
          </w:p>
        </w:tc>
        <w:tc>
          <w:tcPr>
            <w:tcW w:w="136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325160 </w:t>
            </w:r>
          </w:p>
        </w:tc>
        <w:tc>
          <w:tcPr>
            <w:tcW w:w="99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8.6 </w:t>
            </w:r>
          </w:p>
        </w:tc>
        <w:tc>
          <w:tcPr>
            <w:tcW w:w="169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0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住户存款</w:t>
            </w:r>
          </w:p>
        </w:tc>
        <w:tc>
          <w:tcPr>
            <w:tcW w:w="144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2866215 </w:t>
            </w:r>
          </w:p>
        </w:tc>
        <w:tc>
          <w:tcPr>
            <w:tcW w:w="136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319897 </w:t>
            </w:r>
          </w:p>
        </w:tc>
        <w:tc>
          <w:tcPr>
            <w:tcW w:w="99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12.6 </w:t>
            </w:r>
          </w:p>
        </w:tc>
        <w:tc>
          <w:tcPr>
            <w:tcW w:w="169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0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财政性存款</w:t>
            </w:r>
          </w:p>
        </w:tc>
        <w:tc>
          <w:tcPr>
            <w:tcW w:w="144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15175 </w:t>
            </w:r>
          </w:p>
        </w:tc>
        <w:tc>
          <w:tcPr>
            <w:tcW w:w="136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-35066 </w:t>
            </w:r>
          </w:p>
        </w:tc>
        <w:tc>
          <w:tcPr>
            <w:tcW w:w="99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-69.8 </w:t>
            </w:r>
          </w:p>
        </w:tc>
        <w:tc>
          <w:tcPr>
            <w:tcW w:w="169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-69.8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0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二、 各项贷款余额</w:t>
            </w:r>
          </w:p>
        </w:tc>
        <w:tc>
          <w:tcPr>
            <w:tcW w:w="144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1897205 </w:t>
            </w:r>
          </w:p>
        </w:tc>
        <w:tc>
          <w:tcPr>
            <w:tcW w:w="136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201795 </w:t>
            </w:r>
          </w:p>
        </w:tc>
        <w:tc>
          <w:tcPr>
            <w:tcW w:w="99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11.9 </w:t>
            </w:r>
          </w:p>
        </w:tc>
        <w:tc>
          <w:tcPr>
            <w:tcW w:w="169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 w:hRule="atLeast"/>
        </w:trPr>
        <w:tc>
          <w:tcPr>
            <w:tcW w:w="30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1、境内贷款</w:t>
            </w:r>
          </w:p>
        </w:tc>
        <w:tc>
          <w:tcPr>
            <w:tcW w:w="144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1893508 </w:t>
            </w:r>
          </w:p>
        </w:tc>
        <w:tc>
          <w:tcPr>
            <w:tcW w:w="136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201325 </w:t>
            </w:r>
          </w:p>
        </w:tc>
        <w:tc>
          <w:tcPr>
            <w:tcW w:w="99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11.9 </w:t>
            </w:r>
          </w:p>
        </w:tc>
        <w:tc>
          <w:tcPr>
            <w:tcW w:w="169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30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短期贷款</w:t>
            </w:r>
          </w:p>
        </w:tc>
        <w:tc>
          <w:tcPr>
            <w:tcW w:w="144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324190 </w:t>
            </w:r>
          </w:p>
        </w:tc>
        <w:tc>
          <w:tcPr>
            <w:tcW w:w="136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51393 </w:t>
            </w:r>
          </w:p>
        </w:tc>
        <w:tc>
          <w:tcPr>
            <w:tcW w:w="99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18.8 </w:t>
            </w:r>
          </w:p>
        </w:tc>
        <w:tc>
          <w:tcPr>
            <w:tcW w:w="169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20" w:hRule="atLeast"/>
        </w:trPr>
        <w:tc>
          <w:tcPr>
            <w:tcW w:w="30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中长期贷款</w:t>
            </w:r>
          </w:p>
        </w:tc>
        <w:tc>
          <w:tcPr>
            <w:tcW w:w="144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1529652 </w:t>
            </w:r>
          </w:p>
        </w:tc>
        <w:tc>
          <w:tcPr>
            <w:tcW w:w="136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110266 </w:t>
            </w:r>
          </w:p>
        </w:tc>
        <w:tc>
          <w:tcPr>
            <w:tcW w:w="99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7.8 </w:t>
            </w:r>
          </w:p>
        </w:tc>
        <w:tc>
          <w:tcPr>
            <w:tcW w:w="169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0" w:hRule="atLeast"/>
        </w:trPr>
        <w:tc>
          <w:tcPr>
            <w:tcW w:w="30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2、境外贷款</w:t>
            </w:r>
          </w:p>
        </w:tc>
        <w:tc>
          <w:tcPr>
            <w:tcW w:w="144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3697 </w:t>
            </w:r>
          </w:p>
        </w:tc>
        <w:tc>
          <w:tcPr>
            <w:tcW w:w="136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470 </w:t>
            </w:r>
          </w:p>
        </w:tc>
        <w:tc>
          <w:tcPr>
            <w:tcW w:w="990"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14.6 </w:t>
            </w:r>
          </w:p>
        </w:tc>
        <w:tc>
          <w:tcPr>
            <w:tcW w:w="169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bidi w:val="0"/>
              <w:snapToGrid/>
              <w:spacing w:line="360" w:lineRule="auto"/>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14.6 </w:t>
            </w:r>
          </w:p>
        </w:tc>
      </w:tr>
    </w:tbl>
    <w:p>
      <w:pPr>
        <w:pageBreakBefore w:val="0"/>
        <w:kinsoku/>
        <w:wordWrap/>
        <w:overflowPunct/>
        <w:topLinePunct w:val="0"/>
        <w:bidi w:val="0"/>
        <w:snapToGrid/>
        <w:spacing w:line="360" w:lineRule="auto"/>
        <w:ind w:left="0" w:leftChars="0" w:right="0" w:rightChars="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证券交易活跃度回暖。</w:t>
      </w:r>
      <w:r>
        <w:rPr>
          <w:rFonts w:hint="eastAsia" w:ascii="仿宋_GB2312" w:hAnsi="仿宋_GB2312" w:eastAsia="仿宋_GB2312" w:cs="仿宋_GB2312"/>
          <w:sz w:val="32"/>
          <w:szCs w:val="32"/>
          <w:lang w:val="en-US" w:eastAsia="zh-CN"/>
        </w:rPr>
        <w:t>2020年末</w:t>
      </w:r>
      <w:r>
        <w:rPr>
          <w:rFonts w:hint="eastAsia" w:ascii="仿宋_GB2312" w:hAnsi="仿宋_GB2312" w:eastAsia="仿宋_GB2312" w:cs="仿宋_GB2312"/>
          <w:sz w:val="32"/>
          <w:szCs w:val="32"/>
        </w:rPr>
        <w:t>，广发证券公司文昌营业部累计开立证券账户15671户，</w:t>
      </w:r>
      <w:r>
        <w:rPr>
          <w:rFonts w:hint="eastAsia" w:ascii="仿宋_GB2312" w:hAnsi="仿宋_GB2312" w:eastAsia="仿宋_GB2312" w:cs="仿宋_GB2312"/>
          <w:sz w:val="32"/>
          <w:szCs w:val="32"/>
          <w:lang w:eastAsia="zh-CN"/>
        </w:rPr>
        <w:t>比上年</w:t>
      </w:r>
      <w:r>
        <w:rPr>
          <w:rFonts w:hint="eastAsia" w:ascii="仿宋_GB2312" w:hAnsi="仿宋_GB2312" w:eastAsia="仿宋_GB2312" w:cs="仿宋_GB2312"/>
          <w:sz w:val="32"/>
          <w:szCs w:val="32"/>
        </w:rPr>
        <w:t>增长13.</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%；累计托管市值13.10亿元，</w:t>
      </w:r>
      <w:r>
        <w:rPr>
          <w:rFonts w:hint="eastAsia" w:ascii="仿宋_GB2312" w:hAnsi="仿宋_GB2312" w:eastAsia="仿宋_GB2312" w:cs="仿宋_GB2312"/>
          <w:sz w:val="32"/>
          <w:szCs w:val="32"/>
          <w:lang w:eastAsia="zh-CN"/>
        </w:rPr>
        <w:t>比上年</w:t>
      </w:r>
      <w:r>
        <w:rPr>
          <w:rFonts w:hint="eastAsia" w:ascii="仿宋_GB2312" w:hAnsi="仿宋_GB2312" w:eastAsia="仿宋_GB2312" w:cs="仿宋_GB2312"/>
          <w:sz w:val="32"/>
          <w:szCs w:val="32"/>
        </w:rPr>
        <w:t>增长92.5%。2020年全年累计股票交易量268.78亿元，</w:t>
      </w:r>
      <w:r>
        <w:rPr>
          <w:rFonts w:hint="eastAsia" w:ascii="仿宋_GB2312" w:hAnsi="仿宋_GB2312" w:eastAsia="仿宋_GB2312" w:cs="仿宋_GB2312"/>
          <w:sz w:val="32"/>
          <w:szCs w:val="32"/>
          <w:lang w:eastAsia="zh-CN"/>
        </w:rPr>
        <w:t>比上年</w:t>
      </w:r>
      <w:r>
        <w:rPr>
          <w:rFonts w:hint="eastAsia" w:ascii="仿宋_GB2312" w:hAnsi="仿宋_GB2312" w:eastAsia="仿宋_GB2312" w:cs="仿宋_GB2312"/>
          <w:sz w:val="32"/>
          <w:szCs w:val="32"/>
        </w:rPr>
        <w:t>增长167.5%。</w:t>
      </w:r>
    </w:p>
    <w:p>
      <w:pPr>
        <w:pStyle w:val="11"/>
        <w:pageBreakBefore w:val="0"/>
        <w:kinsoku/>
        <w:wordWrap/>
        <w:overflowPunct/>
        <w:topLinePunct w:val="0"/>
        <w:bidi w:val="0"/>
        <w:snapToGrid/>
        <w:spacing w:line="360" w:lineRule="auto"/>
        <w:ind w:left="0" w:leftChars="0" w:right="0" w:rightChars="0" w:firstLine="640" w:firstLineChars="200"/>
        <w:rPr>
          <w:rFonts w:hint="eastAsia" w:ascii="仿宋_GB2312" w:hAnsi="微软雅黑" w:eastAsia="仿宋_GB2312" w:cs="仿宋_GB2312"/>
          <w:b w:val="0"/>
          <w:i w:val="0"/>
          <w:caps w:val="0"/>
          <w:color w:val="FF0000"/>
          <w:spacing w:val="0"/>
          <w:kern w:val="0"/>
          <w:sz w:val="32"/>
          <w:szCs w:val="32"/>
          <w:lang w:val="en-US" w:eastAsia="zh-CN" w:bidi="ar"/>
        </w:rPr>
      </w:pPr>
      <w:r>
        <w:rPr>
          <w:rFonts w:hint="eastAsia" w:ascii="仿宋_GB2312" w:hAnsi="仿宋_GB2312" w:eastAsia="仿宋_GB2312" w:cs="仿宋_GB2312"/>
          <w:sz w:val="32"/>
          <w:szCs w:val="32"/>
        </w:rPr>
        <w:t>保险报费收入持续增长。2020年，全市保险机构保费收入47972万元，</w:t>
      </w:r>
      <w:r>
        <w:rPr>
          <w:rFonts w:hint="eastAsia" w:ascii="仿宋_GB2312" w:hAnsi="仿宋_GB2312" w:eastAsia="仿宋_GB2312" w:cs="仿宋_GB2312"/>
          <w:sz w:val="32"/>
          <w:szCs w:val="32"/>
          <w:lang w:eastAsia="zh-CN"/>
        </w:rPr>
        <w:t>比上年</w:t>
      </w:r>
      <w:r>
        <w:rPr>
          <w:rFonts w:hint="eastAsia" w:ascii="仿宋_GB2312" w:hAnsi="仿宋_GB2312" w:eastAsia="仿宋_GB2312" w:cs="仿宋_GB2312"/>
          <w:sz w:val="32"/>
          <w:szCs w:val="32"/>
        </w:rPr>
        <w:t>增长7.8%；理赔支出8212万元，</w:t>
      </w:r>
      <w:r>
        <w:rPr>
          <w:rFonts w:hint="eastAsia" w:ascii="仿宋_GB2312" w:hAnsi="仿宋_GB2312" w:eastAsia="仿宋_GB2312" w:cs="仿宋_GB2312"/>
          <w:sz w:val="32"/>
          <w:szCs w:val="32"/>
          <w:lang w:eastAsia="zh-CN"/>
        </w:rPr>
        <w:t>比上年</w:t>
      </w:r>
      <w:r>
        <w:rPr>
          <w:rFonts w:hint="eastAsia" w:ascii="仿宋_GB2312" w:hAnsi="仿宋_GB2312" w:eastAsia="仿宋_GB2312" w:cs="仿宋_GB2312"/>
          <w:sz w:val="32"/>
          <w:szCs w:val="32"/>
        </w:rPr>
        <w:t>增长3.</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%。其中，财险保费收入15738万元，理赔支出5836万元；寿险保费收入32234万元，理赔支出2376万元。财险、寿险保费占比分别为32.81%和67.19%，理赔占比分别为71.07%和28.93%。</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80"/>
        <w:jc w:val="both"/>
        <w:rPr>
          <w:sz w:val="21"/>
          <w:szCs w:val="21"/>
        </w:rPr>
      </w:pPr>
      <w:r>
        <w:rPr>
          <w:rFonts w:hint="eastAsia" w:ascii="黑体" w:hAnsi="宋体" w:eastAsia="黑体" w:cs="黑体"/>
          <w:b w:val="0"/>
          <w:i w:val="0"/>
          <w:caps w:val="0"/>
          <w:color w:val="000000"/>
          <w:spacing w:val="0"/>
          <w:kern w:val="0"/>
          <w:sz w:val="32"/>
          <w:szCs w:val="32"/>
          <w:lang w:val="en-US" w:eastAsia="zh-CN" w:bidi="ar"/>
        </w:rPr>
        <w:t>九、居民收支和社会保障</w:t>
      </w:r>
    </w:p>
    <w:p>
      <w:pPr>
        <w:pStyle w:val="11"/>
        <w:pageBreakBefore w:val="0"/>
        <w:kinsoku/>
        <w:wordWrap/>
        <w:overflowPunct/>
        <w:topLinePunct w:val="0"/>
        <w:bidi w:val="0"/>
        <w:snapToGrid/>
        <w:spacing w:line="360" w:lineRule="auto"/>
        <w:ind w:firstLine="640" w:firstLineChars="200"/>
        <w:rPr>
          <w:rFonts w:hint="eastAsia" w:ascii="仿宋_GB2312" w:hAnsi="宋体" w:eastAsia="仿宋_GB2312" w:cs="宋体"/>
          <w:kern w:val="0"/>
          <w:sz w:val="32"/>
          <w:szCs w:val="20"/>
          <w:lang w:eastAsia="zh-CN"/>
        </w:rPr>
      </w:pPr>
      <w:r>
        <w:rPr>
          <w:rFonts w:hint="eastAsia" w:ascii="仿宋_GB2312" w:hAnsi="宋体" w:eastAsia="仿宋_GB2312" w:cs="宋体"/>
          <w:kern w:val="0"/>
          <w:sz w:val="32"/>
          <w:szCs w:val="20"/>
          <w:lang w:val="en-US" w:eastAsia="zh-CN"/>
        </w:rPr>
        <w:t>全年</w:t>
      </w:r>
      <w:r>
        <w:rPr>
          <w:rFonts w:hint="eastAsia" w:ascii="仿宋_GB2312" w:hAnsi="宋体" w:eastAsia="仿宋_GB2312" w:cs="宋体"/>
          <w:kern w:val="0"/>
          <w:sz w:val="32"/>
          <w:szCs w:val="20"/>
        </w:rPr>
        <w:t>全市城乡常住居民人均可支配收入</w:t>
      </w:r>
      <w:r>
        <w:rPr>
          <w:rFonts w:hint="eastAsia" w:ascii="仿宋_GB2312" w:hAnsi="宋体" w:eastAsia="仿宋_GB2312" w:cs="宋体"/>
          <w:kern w:val="0"/>
          <w:sz w:val="32"/>
          <w:szCs w:val="20"/>
          <w:lang w:val="en-US" w:eastAsia="zh-CN"/>
        </w:rPr>
        <w:t>27089</w:t>
      </w:r>
      <w:r>
        <w:rPr>
          <w:rFonts w:hint="eastAsia" w:ascii="仿宋_GB2312" w:hAnsi="宋体" w:eastAsia="仿宋_GB2312" w:cs="宋体"/>
          <w:kern w:val="0"/>
          <w:sz w:val="32"/>
          <w:szCs w:val="20"/>
        </w:rPr>
        <w:t>元，</w:t>
      </w:r>
      <w:r>
        <w:rPr>
          <w:rFonts w:hint="eastAsia" w:ascii="仿宋_GB2312" w:hAnsi="宋体" w:eastAsia="仿宋_GB2312" w:cs="宋体"/>
          <w:kern w:val="0"/>
          <w:sz w:val="32"/>
          <w:szCs w:val="20"/>
          <w:lang w:eastAsia="zh-CN"/>
        </w:rPr>
        <w:t>比上年</w:t>
      </w:r>
      <w:r>
        <w:rPr>
          <w:rFonts w:hint="eastAsia" w:ascii="仿宋_GB2312" w:hAnsi="宋体" w:eastAsia="仿宋_GB2312" w:cs="宋体"/>
          <w:kern w:val="0"/>
          <w:sz w:val="32"/>
          <w:szCs w:val="20"/>
        </w:rPr>
        <w:t>增长</w:t>
      </w:r>
      <w:r>
        <w:rPr>
          <w:rFonts w:hint="eastAsia" w:ascii="仿宋_GB2312" w:hAnsi="宋体" w:eastAsia="仿宋_GB2312" w:cs="宋体"/>
          <w:kern w:val="0"/>
          <w:sz w:val="32"/>
          <w:szCs w:val="20"/>
          <w:lang w:val="en-US" w:eastAsia="zh-CN"/>
        </w:rPr>
        <w:t>4.8</w:t>
      </w:r>
      <w:r>
        <w:rPr>
          <w:rFonts w:hint="eastAsia" w:ascii="仿宋_GB2312" w:hAnsi="宋体" w:eastAsia="仿宋_GB2312" w:cs="宋体"/>
          <w:kern w:val="0"/>
          <w:sz w:val="32"/>
          <w:szCs w:val="20"/>
        </w:rPr>
        <w:t>%。其中，城镇常住居民人均可支配收入</w:t>
      </w:r>
      <w:r>
        <w:rPr>
          <w:rFonts w:hint="eastAsia" w:ascii="仿宋_GB2312" w:hAnsi="宋体" w:eastAsia="仿宋_GB2312" w:cs="宋体"/>
          <w:kern w:val="0"/>
          <w:sz w:val="32"/>
          <w:szCs w:val="20"/>
          <w:lang w:val="en-US" w:eastAsia="zh-CN"/>
        </w:rPr>
        <w:t>36534</w:t>
      </w:r>
      <w:r>
        <w:rPr>
          <w:rFonts w:hint="eastAsia" w:ascii="仿宋_GB2312" w:hAnsi="宋体" w:eastAsia="仿宋_GB2312" w:cs="宋体"/>
          <w:kern w:val="0"/>
          <w:sz w:val="32"/>
          <w:szCs w:val="20"/>
        </w:rPr>
        <w:t>元，</w:t>
      </w:r>
      <w:r>
        <w:rPr>
          <w:rFonts w:hint="eastAsia" w:ascii="仿宋_GB2312" w:hAnsi="宋体" w:eastAsia="仿宋_GB2312" w:cs="宋体"/>
          <w:kern w:val="0"/>
          <w:sz w:val="32"/>
          <w:szCs w:val="20"/>
          <w:lang w:eastAsia="zh-CN"/>
        </w:rPr>
        <w:t>比上年</w:t>
      </w:r>
      <w:r>
        <w:rPr>
          <w:rFonts w:hint="eastAsia" w:ascii="仿宋_GB2312" w:hAnsi="宋体" w:eastAsia="仿宋_GB2312" w:cs="宋体"/>
          <w:kern w:val="0"/>
          <w:sz w:val="32"/>
          <w:szCs w:val="20"/>
        </w:rPr>
        <w:t>增长</w:t>
      </w:r>
      <w:r>
        <w:rPr>
          <w:rFonts w:hint="eastAsia" w:ascii="仿宋_GB2312" w:hAnsi="宋体" w:eastAsia="仿宋_GB2312" w:cs="宋体"/>
          <w:kern w:val="0"/>
          <w:sz w:val="32"/>
          <w:szCs w:val="20"/>
          <w:lang w:val="en-US" w:eastAsia="zh-CN"/>
        </w:rPr>
        <w:t>2.8</w:t>
      </w:r>
      <w:r>
        <w:rPr>
          <w:rFonts w:hint="eastAsia" w:ascii="仿宋_GB2312" w:hAnsi="宋体" w:eastAsia="仿宋_GB2312" w:cs="宋体"/>
          <w:kern w:val="0"/>
          <w:sz w:val="32"/>
          <w:szCs w:val="20"/>
        </w:rPr>
        <w:t>%</w:t>
      </w:r>
      <w:r>
        <w:rPr>
          <w:rFonts w:hint="eastAsia" w:ascii="仿宋_GB2312" w:hAnsi="宋体" w:eastAsia="仿宋_GB2312" w:cs="宋体"/>
          <w:kern w:val="0"/>
          <w:sz w:val="32"/>
          <w:szCs w:val="20"/>
          <w:lang w:eastAsia="zh-CN"/>
        </w:rPr>
        <w:t>，</w:t>
      </w:r>
      <w:r>
        <w:rPr>
          <w:rFonts w:hint="eastAsia" w:ascii="仿宋_GB2312" w:hAnsi="宋体" w:eastAsia="仿宋_GB2312" w:cs="宋体"/>
          <w:kern w:val="0"/>
          <w:sz w:val="32"/>
          <w:szCs w:val="20"/>
        </w:rPr>
        <w:t>农村常住居民人均可支配收入</w:t>
      </w:r>
      <w:r>
        <w:rPr>
          <w:rFonts w:hint="eastAsia" w:ascii="仿宋_GB2312" w:hAnsi="宋体" w:eastAsia="仿宋_GB2312" w:cs="宋体"/>
          <w:kern w:val="0"/>
          <w:sz w:val="32"/>
          <w:szCs w:val="20"/>
          <w:lang w:val="en-US" w:eastAsia="zh-CN"/>
        </w:rPr>
        <w:t>17316</w:t>
      </w:r>
      <w:r>
        <w:rPr>
          <w:rFonts w:hint="eastAsia" w:ascii="仿宋_GB2312" w:hAnsi="宋体" w:eastAsia="仿宋_GB2312" w:cs="宋体"/>
          <w:kern w:val="0"/>
          <w:sz w:val="32"/>
          <w:szCs w:val="20"/>
        </w:rPr>
        <w:t>元，</w:t>
      </w:r>
      <w:r>
        <w:rPr>
          <w:rFonts w:hint="eastAsia" w:ascii="仿宋_GB2312" w:hAnsi="宋体" w:eastAsia="仿宋_GB2312" w:cs="宋体"/>
          <w:kern w:val="0"/>
          <w:sz w:val="32"/>
          <w:szCs w:val="20"/>
          <w:lang w:eastAsia="zh-CN"/>
        </w:rPr>
        <w:t>比上年</w:t>
      </w:r>
      <w:r>
        <w:rPr>
          <w:rFonts w:hint="eastAsia" w:ascii="仿宋_GB2312" w:hAnsi="宋体" w:eastAsia="仿宋_GB2312" w:cs="宋体"/>
          <w:kern w:val="0"/>
          <w:sz w:val="32"/>
          <w:szCs w:val="20"/>
        </w:rPr>
        <w:t>增长</w:t>
      </w:r>
      <w:r>
        <w:rPr>
          <w:rFonts w:hint="eastAsia" w:ascii="仿宋_GB2312" w:hAnsi="宋体" w:eastAsia="仿宋_GB2312" w:cs="宋体"/>
          <w:kern w:val="0"/>
          <w:sz w:val="32"/>
          <w:szCs w:val="20"/>
          <w:lang w:val="en-US" w:eastAsia="zh-CN"/>
        </w:rPr>
        <w:t>7.8</w:t>
      </w:r>
      <w:r>
        <w:rPr>
          <w:rFonts w:hint="eastAsia" w:ascii="仿宋_GB2312" w:hAnsi="宋体" w:eastAsia="仿宋_GB2312" w:cs="宋体"/>
          <w:kern w:val="0"/>
          <w:sz w:val="32"/>
          <w:szCs w:val="20"/>
        </w:rPr>
        <w:t>%</w:t>
      </w:r>
      <w:r>
        <w:rPr>
          <w:rFonts w:hint="eastAsia" w:ascii="仿宋_GB2312" w:hAnsi="宋体" w:eastAsia="仿宋_GB2312" w:cs="宋体"/>
          <w:kern w:val="0"/>
          <w:sz w:val="32"/>
          <w:szCs w:val="20"/>
          <w:lang w:eastAsia="zh-CN"/>
        </w:rPr>
        <w:t>。</w:t>
      </w:r>
    </w:p>
    <w:p>
      <w:pPr>
        <w:pageBreakBefore w:val="0"/>
        <w:kinsoku/>
        <w:wordWrap/>
        <w:overflowPunct/>
        <w:topLinePunct w:val="0"/>
        <w:bidi w:val="0"/>
        <w:snapToGrid/>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年末城镇居民最低生活保障人数1381人，农村居民最低生活保障人数9772人。特困人员对象人数2862人。各类福利院床位数474张。全年销售社会福利彩票1250万元，筹集社会福利彩票公益金96万元。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rPr>
        <w:t>年末全市基本养老参保361308人，其中：城镇职工（含离退休）养老参保103568人；城乡居民养老参保257740人。年末全市参加基本医疗保险</w:t>
      </w:r>
      <w:r>
        <w:rPr>
          <w:rFonts w:hint="eastAsia" w:ascii="仿宋_GB2312" w:hAnsi="仿宋_GB2312" w:eastAsia="仿宋_GB2312" w:cs="仿宋_GB2312"/>
          <w:b w:val="0"/>
          <w:bCs w:val="0"/>
          <w:color w:val="auto"/>
          <w:sz w:val="32"/>
          <w:szCs w:val="32"/>
          <w:lang w:val="en-US" w:eastAsia="zh-CN"/>
        </w:rPr>
        <w:t>575502</w:t>
      </w:r>
      <w:r>
        <w:rPr>
          <w:rFonts w:hint="eastAsia" w:ascii="仿宋_GB2312" w:hAnsi="仿宋_GB2312" w:eastAsia="仿宋_GB2312" w:cs="仿宋_GB2312"/>
          <w:b w:val="0"/>
          <w:bCs w:val="0"/>
          <w:color w:val="auto"/>
          <w:sz w:val="32"/>
          <w:szCs w:val="32"/>
        </w:rPr>
        <w:t>人，其中：城镇职工（含离退休）医疗参保</w:t>
      </w:r>
      <w:r>
        <w:rPr>
          <w:rFonts w:hint="eastAsia" w:ascii="仿宋_GB2312" w:hAnsi="仿宋_GB2312" w:eastAsia="仿宋_GB2312" w:cs="仿宋_GB2312"/>
          <w:b w:val="0"/>
          <w:bCs w:val="0"/>
          <w:color w:val="auto"/>
          <w:sz w:val="32"/>
          <w:szCs w:val="32"/>
          <w:lang w:val="en-US" w:eastAsia="zh-CN"/>
        </w:rPr>
        <w:t>80386</w:t>
      </w:r>
      <w:r>
        <w:rPr>
          <w:rFonts w:hint="eastAsia" w:ascii="仿宋_GB2312" w:hAnsi="仿宋_GB2312" w:eastAsia="仿宋_GB2312" w:cs="仿宋_GB2312"/>
          <w:b w:val="0"/>
          <w:bCs w:val="0"/>
          <w:color w:val="auto"/>
          <w:sz w:val="32"/>
          <w:szCs w:val="32"/>
        </w:rPr>
        <w:t>人；</w:t>
      </w:r>
      <w:r>
        <w:rPr>
          <w:rFonts w:hint="eastAsia" w:ascii="仿宋_GB2312" w:hAnsi="仿宋_GB2312" w:eastAsia="仿宋_GB2312" w:cs="仿宋_GB2312"/>
          <w:b w:val="0"/>
          <w:bCs w:val="0"/>
          <w:color w:val="auto"/>
          <w:sz w:val="32"/>
          <w:szCs w:val="32"/>
          <w:lang w:eastAsia="zh-CN"/>
        </w:rPr>
        <w:t>城乡居民医疗保险参保</w:t>
      </w:r>
      <w:r>
        <w:rPr>
          <w:rFonts w:hint="eastAsia" w:ascii="仿宋_GB2312" w:hAnsi="仿宋_GB2312" w:eastAsia="仿宋_GB2312" w:cs="仿宋_GB2312"/>
          <w:b w:val="0"/>
          <w:bCs w:val="0"/>
          <w:color w:val="auto"/>
          <w:sz w:val="32"/>
          <w:szCs w:val="32"/>
          <w:lang w:val="en-US" w:eastAsia="zh-CN"/>
        </w:rPr>
        <w:t>495116人</w:t>
      </w:r>
      <w:r>
        <w:rPr>
          <w:rFonts w:hint="eastAsia" w:ascii="仿宋_GB2312" w:hAnsi="仿宋_GB2312" w:eastAsia="仿宋_GB2312" w:cs="仿宋_GB2312"/>
          <w:b w:val="0"/>
          <w:bCs w:val="0"/>
          <w:color w:val="auto"/>
          <w:sz w:val="32"/>
          <w:szCs w:val="32"/>
        </w:rPr>
        <w:t>。年末，工伤保险参保</w:t>
      </w:r>
      <w:r>
        <w:rPr>
          <w:rFonts w:hint="eastAsia" w:ascii="仿宋_GB2312" w:hAnsi="仿宋_GB2312" w:eastAsia="仿宋_GB2312" w:cs="仿宋_GB2312"/>
          <w:b w:val="0"/>
          <w:bCs w:val="0"/>
          <w:color w:val="auto"/>
          <w:sz w:val="32"/>
          <w:szCs w:val="32"/>
          <w:lang w:val="en-US" w:eastAsia="zh-CN"/>
        </w:rPr>
        <w:t>45255</w:t>
      </w:r>
      <w:r>
        <w:rPr>
          <w:rFonts w:hint="eastAsia" w:ascii="仿宋_GB2312" w:hAnsi="仿宋_GB2312" w:eastAsia="仿宋_GB2312" w:cs="仿宋_GB2312"/>
          <w:b w:val="0"/>
          <w:bCs w:val="0"/>
          <w:color w:val="auto"/>
          <w:sz w:val="32"/>
          <w:szCs w:val="32"/>
        </w:rPr>
        <w:t>人，生育保险参保49</w:t>
      </w:r>
      <w:r>
        <w:rPr>
          <w:rFonts w:hint="eastAsia" w:ascii="仿宋_GB2312" w:hAnsi="仿宋_GB2312" w:eastAsia="仿宋_GB2312" w:cs="仿宋_GB2312"/>
          <w:b w:val="0"/>
          <w:bCs w:val="0"/>
          <w:color w:val="auto"/>
          <w:sz w:val="32"/>
          <w:szCs w:val="32"/>
          <w:lang w:val="en-US" w:eastAsia="zh-CN"/>
        </w:rPr>
        <w:t>945</w:t>
      </w:r>
      <w:r>
        <w:rPr>
          <w:rFonts w:hint="eastAsia" w:ascii="仿宋_GB2312" w:hAnsi="仿宋_GB2312" w:eastAsia="仿宋_GB2312" w:cs="仿宋_GB2312"/>
          <w:b w:val="0"/>
          <w:bCs w:val="0"/>
          <w:color w:val="auto"/>
          <w:sz w:val="32"/>
          <w:szCs w:val="32"/>
        </w:rPr>
        <w:t xml:space="preserve">人，失业保险参保 </w:t>
      </w:r>
      <w:r>
        <w:rPr>
          <w:rFonts w:hint="eastAsia" w:ascii="仿宋_GB2312" w:hAnsi="仿宋_GB2312" w:eastAsia="仿宋_GB2312" w:cs="仿宋_GB2312"/>
          <w:b w:val="0"/>
          <w:bCs w:val="0"/>
          <w:color w:val="auto"/>
          <w:sz w:val="32"/>
          <w:szCs w:val="32"/>
          <w:lang w:val="en-US" w:eastAsia="zh-CN"/>
        </w:rPr>
        <w:t>56547</w:t>
      </w:r>
      <w:r>
        <w:rPr>
          <w:rFonts w:hint="eastAsia" w:ascii="仿宋_GB2312" w:hAnsi="仿宋_GB2312" w:eastAsia="仿宋_GB2312" w:cs="仿宋_GB2312"/>
          <w:b w:val="0"/>
          <w:bCs w:val="0"/>
          <w:color w:val="auto"/>
          <w:sz w:val="32"/>
          <w:szCs w:val="32"/>
        </w:rPr>
        <w:t>人。</w:t>
      </w:r>
    </w:p>
    <w:p>
      <w:pPr>
        <w:pStyle w:val="11"/>
        <w:pageBreakBefore w:val="0"/>
        <w:kinsoku/>
        <w:wordWrap/>
        <w:overflowPunct/>
        <w:topLinePunct w:val="0"/>
        <w:bidi w:val="0"/>
        <w:snapToGrid/>
        <w:spacing w:line="360" w:lineRule="auto"/>
        <w:ind w:firstLine="640" w:firstLineChars="200"/>
        <w:rPr>
          <w:rFonts w:hint="eastAsia" w:ascii="仿宋_GB2312" w:eastAsia="仿宋_GB2312"/>
          <w:sz w:val="32"/>
          <w:szCs w:val="32"/>
        </w:rPr>
      </w:pPr>
      <w:r>
        <w:rPr>
          <w:rFonts w:ascii="仿宋_GB2312" w:eastAsia="仿宋_GB2312"/>
          <w:sz w:val="32"/>
          <w:szCs w:val="32"/>
        </w:rPr>
        <w:t>2020年省下达给我市国有垦区危房改造项目任务90套(户)，其中，市罗豆农场负责建设国有垦区危房改造80套，市南阳农场负责建设国有垦区危房改造10套，2个项目均于2020年12月份已竣工并交付使用。</w:t>
      </w:r>
    </w:p>
    <w:p>
      <w:pPr>
        <w:pStyle w:val="11"/>
        <w:pageBreakBefore w:val="0"/>
        <w:kinsoku/>
        <w:wordWrap/>
        <w:overflowPunct/>
        <w:topLinePunct w:val="0"/>
        <w:bidi w:val="0"/>
        <w:snapToGrid/>
        <w:spacing w:line="360" w:lineRule="auto"/>
        <w:ind w:firstLine="640" w:firstLineChars="200"/>
        <w:rPr>
          <w:rFonts w:ascii="仿宋_GB2312" w:eastAsia="仿宋_GB2312"/>
          <w:sz w:val="32"/>
          <w:szCs w:val="32"/>
        </w:rPr>
      </w:pPr>
      <w:r>
        <w:rPr>
          <w:rFonts w:hint="eastAsia" w:ascii="仿宋_GB2312" w:eastAsia="仿宋_GB2312"/>
          <w:sz w:val="32"/>
          <w:szCs w:val="32"/>
        </w:rPr>
        <w:t>2020年省下达我市4类重点对象危房改造任务27户，其中建档立卡贫困户7户。我市共投入危房改造补助资金162.8万元，改造4类重点对象41户，其中建档立卡贫困户13户，已全部竣工入住。</w:t>
      </w:r>
    </w:p>
    <w:p>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80"/>
        <w:jc w:val="both"/>
        <w:rPr>
          <w:rFonts w:hint="eastAsia" w:ascii="黑体" w:hAnsi="宋体" w:eastAsia="黑体" w:cs="黑体"/>
          <w:b w:val="0"/>
          <w:i w:val="0"/>
          <w:caps w:val="0"/>
          <w:color w:val="auto"/>
          <w:spacing w:val="0"/>
          <w:kern w:val="0"/>
          <w:sz w:val="32"/>
          <w:szCs w:val="32"/>
          <w:lang w:val="en-US" w:eastAsia="zh-CN" w:bidi="ar"/>
        </w:rPr>
      </w:pPr>
      <w:r>
        <w:rPr>
          <w:rFonts w:hint="eastAsia" w:ascii="黑体" w:hAnsi="宋体" w:eastAsia="黑体" w:cs="黑体"/>
          <w:b w:val="0"/>
          <w:i w:val="0"/>
          <w:caps w:val="0"/>
          <w:color w:val="auto"/>
          <w:spacing w:val="0"/>
          <w:kern w:val="0"/>
          <w:sz w:val="32"/>
          <w:szCs w:val="32"/>
          <w:lang w:val="en-US" w:eastAsia="zh-CN" w:bidi="ar"/>
        </w:rPr>
        <w:t>科学技术和教育</w:t>
      </w:r>
    </w:p>
    <w:p>
      <w:pPr>
        <w:pStyle w:val="6"/>
        <w:keepNext w:val="0"/>
        <w:keepLines w:val="0"/>
        <w:pageBreakBefore w:val="0"/>
        <w:widowControl/>
        <w:kinsoku/>
        <w:wordWrap/>
        <w:overflowPunct/>
        <w:topLinePunct w:val="0"/>
        <w:bidi w:val="0"/>
        <w:snapToGrid/>
        <w:spacing w:before="0" w:beforeAutospacing="0" w:after="0" w:afterAutospacing="0" w:line="360" w:lineRule="auto"/>
        <w:ind w:firstLine="640" w:firstLineChars="200"/>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sz w:val="32"/>
          <w:szCs w:val="32"/>
        </w:rPr>
        <w:t>健全农业科技服务体系，开展农业科技服务</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kern w:val="2"/>
          <w:sz w:val="32"/>
          <w:szCs w:val="32"/>
        </w:rPr>
        <w:t>加强标准化建设和规范化管理。起草出台《文昌市农业科技110服务站认定管理办法》，加强农业科技 110 服务站标准化建设和规范化管理工作。</w:t>
      </w:r>
      <w:r>
        <w:rPr>
          <w:rFonts w:hint="eastAsia" w:ascii="仿宋_GB2312" w:hAnsi="仿宋_GB2312" w:eastAsia="仿宋_GB2312" w:cs="仿宋_GB2312"/>
          <w:kern w:val="2"/>
          <w:sz w:val="32"/>
          <w:szCs w:val="32"/>
          <w:lang w:eastAsia="zh-CN"/>
        </w:rPr>
        <w:t>二是</w:t>
      </w:r>
      <w:r>
        <w:rPr>
          <w:rFonts w:hint="eastAsia" w:ascii="仿宋_GB2312" w:hAnsi="仿宋_GB2312" w:eastAsia="仿宋_GB2312" w:cs="仿宋_GB2312"/>
          <w:sz w:val="32"/>
          <w:szCs w:val="32"/>
        </w:rPr>
        <w:t>抓实用技术培训。全市各服务站共举办各类技术培训班等40多期，受训人数达2000多人次，切实帮助我市农民和贫困户掌握生产、劳动技能。</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抓科技下乡</w:t>
      </w:r>
      <w:r>
        <w:rPr>
          <w:rFonts w:hint="eastAsia" w:ascii="仿宋_GB2312" w:hAnsi="仿宋_GB2312" w:eastAsia="仿宋_GB2312" w:cs="仿宋_GB2312"/>
          <w:sz w:val="32"/>
          <w:szCs w:val="32"/>
          <w:lang w:eastAsia="zh-CN"/>
        </w:rPr>
        <w:t>和宣传</w:t>
      </w:r>
      <w:r>
        <w:rPr>
          <w:rFonts w:hint="eastAsia" w:ascii="仿宋_GB2312" w:hAnsi="仿宋_GB2312" w:eastAsia="仿宋_GB2312" w:cs="仿宋_GB2312"/>
          <w:sz w:val="32"/>
          <w:szCs w:val="32"/>
        </w:rPr>
        <w:t>服务活动。2020年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现场接受群众咨询10万多人次，到田间开展技术服务1万多人次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共无偿发放科技、科普等宣传学习资料共2.8万多份到广大农民手中，深受广大农民群众的欢迎。</w:t>
      </w:r>
      <w:r>
        <w:rPr>
          <w:rFonts w:hint="eastAsia" w:ascii="仿宋_GB2312" w:hAnsi="仿宋_GB2312" w:eastAsia="仿宋_GB2312" w:cs="仿宋_GB2312"/>
          <w:sz w:val="32"/>
          <w:szCs w:val="32"/>
          <w:lang w:eastAsia="zh-CN"/>
        </w:rPr>
        <w:t>四是</w:t>
      </w:r>
      <w:r>
        <w:rPr>
          <w:rFonts w:hint="eastAsia" w:ascii="仿宋_GB2312" w:hAnsi="仿宋_GB2312" w:eastAsia="仿宋_GB2312" w:cs="仿宋_GB2312"/>
          <w:color w:val="auto"/>
          <w:kern w:val="2"/>
          <w:sz w:val="32"/>
          <w:szCs w:val="32"/>
        </w:rPr>
        <w:t>创建示范基地和示范园，推广应用科技成果。截</w:t>
      </w:r>
      <w:r>
        <w:rPr>
          <w:rFonts w:hint="eastAsia" w:ascii="仿宋_GB2312" w:hAnsi="仿宋_GB2312" w:eastAsia="仿宋_GB2312" w:cs="仿宋_GB2312"/>
          <w:color w:val="auto"/>
          <w:kern w:val="2"/>
          <w:sz w:val="32"/>
          <w:szCs w:val="32"/>
          <w:lang w:eastAsia="zh-CN"/>
        </w:rPr>
        <w:t>至</w:t>
      </w:r>
      <w:r>
        <w:rPr>
          <w:rFonts w:hint="eastAsia" w:ascii="仿宋_GB2312" w:hAnsi="仿宋_GB2312" w:eastAsia="仿宋_GB2312" w:cs="仿宋_GB2312"/>
          <w:color w:val="auto"/>
          <w:kern w:val="2"/>
          <w:sz w:val="32"/>
          <w:szCs w:val="32"/>
        </w:rPr>
        <w:t>2020年，我市共创建科技110示范基地20个和农业科技集成示范园4个</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2020年推广新品种8个，推广新技术15项，推广新品种新技术面积4.8万亩。</w:t>
      </w:r>
    </w:p>
    <w:p>
      <w:pPr>
        <w:keepNext w:val="0"/>
        <w:keepLines w:val="0"/>
        <w:pageBreakBefore w:val="0"/>
        <w:kinsoku/>
        <w:wordWrap/>
        <w:overflowPunct/>
        <w:topLinePunct w:val="0"/>
        <w:bidi w:val="0"/>
        <w:snapToGrid/>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推动高新技术产业发展</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研究制定促进高新技术企业发展的配套政策。</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建立高新技术企业后备库。对我市创新型企业开展系统性摸底排查，经过调研，确定9家企业入高新技术企业后备库。</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加强对企业培训和宣传力度。大力开展系列培训和宣传活动，积极发动企业申报科技型中小企业、高新技术企业，加强企业申报辅导，为企业提供精准服务。2020年，我市共有高新技术企业11家，比去年增加了2家，累计新增4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到期重新认定1家。2020年，我市高新技术企业实现总产值21.31亿元，比上年增长45.7%。2020年，全市1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家规模以上工业企业中有5家高新技术工业企业，占比为29</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%，较去年增长150%。2020年，全市规模以上高新技术工业企业总产值19.56亿元，占全市规模以上工业总产值的41.6%，较去年增长61.1%。</w:t>
      </w:r>
    </w:p>
    <w:p>
      <w:pPr>
        <w:pStyle w:val="6"/>
        <w:keepNext w:val="0"/>
        <w:keepLines w:val="0"/>
        <w:pageBreakBefore w:val="0"/>
        <w:widowControl/>
        <w:kinsoku/>
        <w:wordWrap/>
        <w:overflowPunct/>
        <w:topLinePunct w:val="0"/>
        <w:bidi w:val="0"/>
        <w:snapToGrid/>
        <w:spacing w:before="0" w:beforeAutospacing="0" w:after="0" w:afterAutospacing="0" w:line="360" w:lineRule="auto"/>
        <w:ind w:firstLine="640" w:firstLineChars="200"/>
        <w:jc w:val="both"/>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培育发展专业科技馆、科普基地</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大力引导、支持和鼓励企业建设科普场馆，积极培育发展文昌市的专业科技馆、科普基地。目前我市共有1个省级专业科技馆（海南省航天科技馆）和1个省级科普基地（文昌椰科椰子大观园科普基地）。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jc w:val="both"/>
        <w:textAlignment w:val="auto"/>
        <w:outlineLvl w:val="9"/>
      </w:pPr>
      <w:r>
        <w:rPr>
          <w:rFonts w:hint="eastAsia" w:ascii="仿宋_GB2312" w:hAnsi="仿宋_GB2312" w:eastAsia="仿宋_GB2312" w:cs="仿宋_GB2312"/>
          <w:b w:val="0"/>
          <w:bCs w:val="0"/>
          <w:sz w:val="32"/>
          <w:szCs w:val="32"/>
        </w:rPr>
        <w:t>开展第十</w:t>
      </w:r>
      <w:r>
        <w:rPr>
          <w:rFonts w:hint="eastAsia" w:ascii="仿宋_GB2312" w:hAnsi="仿宋_GB2312" w:eastAsia="仿宋_GB2312" w:cs="仿宋_GB2312"/>
          <w:b w:val="0"/>
          <w:bCs w:val="0"/>
          <w:sz w:val="32"/>
          <w:szCs w:val="32"/>
          <w:lang w:eastAsia="zh-CN"/>
        </w:rPr>
        <w:t>六</w:t>
      </w:r>
      <w:r>
        <w:rPr>
          <w:rFonts w:hint="eastAsia" w:ascii="仿宋_GB2312" w:hAnsi="仿宋_GB2312" w:eastAsia="仿宋_GB2312" w:cs="仿宋_GB2312"/>
          <w:b w:val="0"/>
          <w:bCs w:val="0"/>
          <w:sz w:val="32"/>
          <w:szCs w:val="32"/>
        </w:rPr>
        <w:t>届科技活动月工作卓有成效</w:t>
      </w:r>
      <w:r>
        <w:rPr>
          <w:rFonts w:hint="eastAsia" w:ascii="仿宋_GB2312" w:hAnsi="仿宋_GB2312" w:eastAsia="仿宋_GB2312" w:cs="仿宋_GB2312"/>
          <w:b w:val="0"/>
          <w:bCs w:val="0"/>
          <w:sz w:val="32"/>
          <w:szCs w:val="32"/>
          <w:lang w:eastAsia="zh-CN"/>
        </w:rPr>
        <w:t>。全市</w:t>
      </w:r>
      <w:r>
        <w:rPr>
          <w:rFonts w:hint="eastAsia" w:ascii="仿宋_GB2312" w:hAnsi="仿宋_GB2312" w:eastAsia="仿宋_GB2312" w:cs="仿宋_GB2312"/>
          <w:b w:val="0"/>
          <w:bCs w:val="0"/>
          <w:sz w:val="32"/>
          <w:szCs w:val="32"/>
          <w:lang w:val="en-US" w:eastAsia="zh-CN"/>
        </w:rPr>
        <w:t>21</w:t>
      </w:r>
      <w:r>
        <w:rPr>
          <w:rFonts w:hint="eastAsia" w:ascii="仿宋_GB2312" w:hAnsi="仿宋_GB2312" w:eastAsia="仿宋_GB2312" w:cs="仿宋_GB2312"/>
          <w:b w:val="0"/>
          <w:bCs w:val="0"/>
          <w:sz w:val="32"/>
          <w:szCs w:val="32"/>
        </w:rPr>
        <w:t>个</w:t>
      </w:r>
      <w:r>
        <w:rPr>
          <w:rFonts w:hint="eastAsia" w:ascii="仿宋_GB2312" w:hAnsi="仿宋_GB2312" w:eastAsia="仿宋_GB2312" w:cs="仿宋_GB2312"/>
          <w:b w:val="0"/>
          <w:bCs w:val="0"/>
          <w:sz w:val="32"/>
          <w:szCs w:val="32"/>
          <w:lang w:eastAsia="zh-CN"/>
        </w:rPr>
        <w:t>职能</w:t>
      </w:r>
      <w:r>
        <w:rPr>
          <w:rFonts w:hint="eastAsia" w:ascii="仿宋_GB2312" w:hAnsi="仿宋_GB2312" w:eastAsia="仿宋_GB2312" w:cs="仿宋_GB2312"/>
          <w:b w:val="0"/>
          <w:bCs w:val="0"/>
          <w:sz w:val="32"/>
          <w:szCs w:val="32"/>
        </w:rPr>
        <w:t>单位和17个镇党委政府</w:t>
      </w:r>
      <w:r>
        <w:rPr>
          <w:rFonts w:hint="eastAsia" w:ascii="仿宋_GB2312" w:hAnsi="仿宋_GB2312" w:eastAsia="仿宋_GB2312" w:cs="仿宋_GB2312"/>
          <w:b w:val="0"/>
          <w:bCs w:val="0"/>
          <w:sz w:val="32"/>
          <w:szCs w:val="32"/>
          <w:lang w:eastAsia="zh-CN"/>
        </w:rPr>
        <w:t>紧紧围绕“科技战疫 创新强国”主题，广泛开展多样化、常态化、群众性的科普活动</w:t>
      </w:r>
      <w:r>
        <w:rPr>
          <w:rFonts w:hint="eastAsia" w:ascii="仿宋_GB2312" w:hAnsi="仿宋_GB2312" w:eastAsia="仿宋_GB2312" w:cs="仿宋_GB2312"/>
          <w:b w:val="0"/>
          <w:bCs w:val="0"/>
          <w:sz w:val="32"/>
          <w:szCs w:val="32"/>
          <w:lang w:val="en-US" w:eastAsia="zh-CN"/>
        </w:rPr>
        <w:t>20多</w:t>
      </w:r>
      <w:r>
        <w:rPr>
          <w:rFonts w:hint="eastAsia" w:ascii="仿宋_GB2312" w:hAnsi="仿宋_GB2312" w:eastAsia="仿宋_GB2312" w:cs="仿宋_GB2312"/>
          <w:b w:val="0"/>
          <w:bCs w:val="0"/>
          <w:sz w:val="32"/>
          <w:szCs w:val="32"/>
        </w:rPr>
        <w:t>项。参加科技活动的有</w:t>
      </w:r>
      <w:r>
        <w:rPr>
          <w:rFonts w:hint="eastAsia" w:ascii="仿宋_GB2312" w:hAnsi="仿宋_GB2312" w:eastAsia="仿宋_GB2312" w:cs="仿宋_GB2312"/>
          <w:b w:val="0"/>
          <w:bCs w:val="0"/>
          <w:sz w:val="32"/>
          <w:szCs w:val="32"/>
          <w:lang w:val="en-US" w:eastAsia="zh-CN"/>
        </w:rPr>
        <w:t>40</w:t>
      </w:r>
      <w:r>
        <w:rPr>
          <w:rFonts w:hint="eastAsia" w:ascii="仿宋_GB2312" w:hAnsi="仿宋_GB2312" w:eastAsia="仿宋_GB2312" w:cs="仿宋_GB2312"/>
          <w:b w:val="0"/>
          <w:bCs w:val="0"/>
          <w:sz w:val="32"/>
          <w:szCs w:val="32"/>
        </w:rPr>
        <w:t>个单位，</w:t>
      </w:r>
      <w:r>
        <w:rPr>
          <w:rFonts w:hint="eastAsia" w:ascii="仿宋_GB2312" w:hAnsi="仿宋_GB2312" w:eastAsia="仿宋_GB2312" w:cs="仿宋_GB2312"/>
          <w:b w:val="0"/>
          <w:bCs w:val="0"/>
          <w:sz w:val="32"/>
          <w:szCs w:val="32"/>
          <w:lang w:val="en-US" w:eastAsia="zh-CN"/>
        </w:rPr>
        <w:t>200多</w:t>
      </w:r>
      <w:r>
        <w:rPr>
          <w:rFonts w:hint="eastAsia" w:ascii="仿宋_GB2312" w:hAnsi="仿宋_GB2312" w:eastAsia="仿宋_GB2312" w:cs="仿宋_GB2312"/>
          <w:b w:val="0"/>
          <w:bCs w:val="0"/>
          <w:sz w:val="32"/>
          <w:szCs w:val="32"/>
        </w:rPr>
        <w:t>名专家和技术员，接受各种科技服务咨询</w:t>
      </w:r>
      <w:r>
        <w:rPr>
          <w:rFonts w:hint="eastAsia" w:ascii="仿宋_GB2312" w:hAnsi="仿宋_GB2312" w:eastAsia="仿宋_GB2312" w:cs="仿宋_GB2312"/>
          <w:b w:val="0"/>
          <w:bCs w:val="0"/>
          <w:sz w:val="32"/>
          <w:szCs w:val="32"/>
          <w:lang w:val="en-US" w:eastAsia="zh-CN"/>
        </w:rPr>
        <w:t>1.6</w:t>
      </w:r>
      <w:r>
        <w:rPr>
          <w:rFonts w:hint="eastAsia" w:ascii="仿宋_GB2312" w:hAnsi="仿宋_GB2312" w:eastAsia="仿宋_GB2312" w:cs="仿宋_GB2312"/>
          <w:b w:val="0"/>
          <w:bCs w:val="0"/>
          <w:sz w:val="32"/>
          <w:szCs w:val="32"/>
        </w:rPr>
        <w:t>万</w:t>
      </w:r>
      <w:r>
        <w:rPr>
          <w:rFonts w:hint="eastAsia" w:ascii="仿宋_GB2312" w:hAnsi="仿宋_GB2312" w:eastAsia="仿宋_GB2312" w:cs="仿宋_GB2312"/>
          <w:b w:val="0"/>
          <w:bCs w:val="0"/>
          <w:sz w:val="32"/>
          <w:szCs w:val="32"/>
          <w:lang w:eastAsia="zh-CN"/>
        </w:rPr>
        <w:t>多</w:t>
      </w:r>
      <w:r>
        <w:rPr>
          <w:rFonts w:hint="eastAsia" w:ascii="仿宋_GB2312" w:hAnsi="仿宋_GB2312" w:eastAsia="仿宋_GB2312" w:cs="仿宋_GB2312"/>
          <w:b w:val="0"/>
          <w:bCs w:val="0"/>
          <w:sz w:val="32"/>
          <w:szCs w:val="32"/>
        </w:rPr>
        <w:t>人次，现场指导和服务</w:t>
      </w:r>
      <w:r>
        <w:rPr>
          <w:rFonts w:hint="eastAsia" w:ascii="仿宋_GB2312" w:hAnsi="仿宋_GB2312" w:eastAsia="仿宋_GB2312" w:cs="仿宋_GB2312"/>
          <w:b w:val="0"/>
          <w:bCs w:val="0"/>
          <w:sz w:val="32"/>
          <w:szCs w:val="32"/>
          <w:lang w:val="en-US" w:eastAsia="zh-CN"/>
        </w:rPr>
        <w:t>1.6</w:t>
      </w:r>
      <w:r>
        <w:rPr>
          <w:rFonts w:hint="eastAsia" w:ascii="仿宋_GB2312" w:hAnsi="仿宋_GB2312" w:eastAsia="仿宋_GB2312" w:cs="仿宋_GB2312"/>
          <w:b w:val="0"/>
          <w:bCs w:val="0"/>
          <w:sz w:val="32"/>
          <w:szCs w:val="32"/>
        </w:rPr>
        <w:t>万</w:t>
      </w:r>
      <w:r>
        <w:rPr>
          <w:rFonts w:hint="eastAsia" w:ascii="仿宋_GB2312" w:hAnsi="仿宋_GB2312" w:eastAsia="仿宋_GB2312" w:cs="仿宋_GB2312"/>
          <w:b w:val="0"/>
          <w:bCs w:val="0"/>
          <w:sz w:val="32"/>
          <w:szCs w:val="32"/>
          <w:lang w:eastAsia="zh-CN"/>
        </w:rPr>
        <w:t>多</w:t>
      </w:r>
      <w:r>
        <w:rPr>
          <w:rFonts w:hint="eastAsia" w:ascii="仿宋_GB2312" w:hAnsi="仿宋_GB2312" w:eastAsia="仿宋_GB2312" w:cs="仿宋_GB2312"/>
          <w:b w:val="0"/>
          <w:bCs w:val="0"/>
          <w:sz w:val="32"/>
          <w:szCs w:val="32"/>
        </w:rPr>
        <w:t>人次，无偿发放科技、文化、卫生、法律等资料</w:t>
      </w:r>
      <w:r>
        <w:rPr>
          <w:rFonts w:hint="eastAsia" w:ascii="仿宋_GB2312" w:hAnsi="仿宋_GB2312" w:eastAsia="仿宋_GB2312" w:cs="仿宋_GB2312"/>
          <w:b w:val="0"/>
          <w:bCs w:val="0"/>
          <w:sz w:val="32"/>
          <w:szCs w:val="32"/>
          <w:lang w:val="en-US" w:eastAsia="zh-CN"/>
        </w:rPr>
        <w:t>4.5</w:t>
      </w:r>
      <w:r>
        <w:rPr>
          <w:rFonts w:hint="eastAsia" w:ascii="仿宋_GB2312" w:hAnsi="仿宋_GB2312" w:eastAsia="仿宋_GB2312" w:cs="仿宋_GB2312"/>
          <w:b w:val="0"/>
          <w:bCs w:val="0"/>
          <w:sz w:val="32"/>
          <w:szCs w:val="32"/>
        </w:rPr>
        <w:t>万多份，受益人数达到</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万多人次。</w:t>
      </w:r>
    </w:p>
    <w:p>
      <w:pPr>
        <w:pageBreakBefore w:val="0"/>
        <w:kinsoku/>
        <w:wordWrap/>
        <w:overflowPunct/>
        <w:topLinePunct w:val="0"/>
        <w:bidi w:val="0"/>
        <w:snapToGrid/>
        <w:spacing w:line="360" w:lineRule="auto"/>
        <w:ind w:left="0" w:leftChars="0" w:right="0" w:righ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市普通高中学校6所，其中，完全高中5所（含民办1所），十二年一贯制学校1所，专任教师1406人，招生3523人，在校学生10473人，高中阶段毛入学率92.7%。普通初中25所，其中初级中学18所，九年一贯制学校7所（含民办2所），专任教师1023人，招生7033人，在校学生20739人，初中毛入学率100%。普通小学144所（含民办1所），增加1所，专任教师3127人，招生 6995人，在校学生44392人，小学毛入学率100%。</w:t>
      </w:r>
      <w:r>
        <w:rPr>
          <w:rFonts w:hint="default" w:ascii="仿宋_GB2312" w:hAnsi="仿宋_GB2312" w:eastAsia="仿宋_GB2312" w:cs="仿宋_GB2312"/>
          <w:sz w:val="32"/>
          <w:szCs w:val="32"/>
          <w:lang w:val="en-US" w:eastAsia="zh-CN"/>
        </w:rPr>
        <w:t>幼儿园118所，附设学前班9个，在园（班）幼儿18599人，在编在岗教职工</w:t>
      </w:r>
      <w:r>
        <w:rPr>
          <w:rFonts w:hint="eastAsia" w:ascii="仿宋_GB2312" w:hAnsi="仿宋_GB2312" w:eastAsia="仿宋_GB2312" w:cs="仿宋_GB2312"/>
          <w:sz w:val="32"/>
          <w:szCs w:val="32"/>
          <w:lang w:val="en-US" w:eastAsia="zh-CN"/>
        </w:rPr>
        <w:t>435</w:t>
      </w:r>
      <w:r>
        <w:rPr>
          <w:rFonts w:hint="default" w:ascii="仿宋_GB2312" w:hAnsi="仿宋_GB2312" w:eastAsia="仿宋_GB2312" w:cs="仿宋_GB2312"/>
          <w:sz w:val="32"/>
          <w:szCs w:val="32"/>
          <w:lang w:val="en-US" w:eastAsia="zh-CN"/>
        </w:rPr>
        <w:t>人，三年毛入学率87.2%。其中，公办幼儿园41所，在园（班）幼儿10289人，公办幼儿园在园幼儿占比55.3%；普惠性幼儿园（含公办幼儿园和普惠性民办幼儿园）92所，在园（班）幼儿17000人，普惠性覆盖率91.4%。</w:t>
      </w:r>
      <w:r>
        <w:rPr>
          <w:rFonts w:hint="eastAsia" w:ascii="仿宋_GB2312" w:hAnsi="仿宋_GB2312" w:eastAsia="仿宋_GB2312" w:cs="仿宋_GB2312"/>
          <w:sz w:val="32"/>
          <w:szCs w:val="32"/>
          <w:lang w:val="en-US" w:eastAsia="zh-CN"/>
        </w:rPr>
        <w:t>特殊教育学校1所，专任教师5人，招生8人，在校生55人。中等职业教育学校1所，专任教师111人，招生779人，在校学生1963人。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eastAsia" w:ascii="仿宋_GB2312" w:hAnsi="仿宋_GB2312" w:eastAsia="仿宋_GB2312" w:cs="仿宋_GB2312"/>
          <w:sz w:val="32"/>
          <w:szCs w:val="32"/>
        </w:rPr>
      </w:pPr>
      <w:r>
        <w:rPr>
          <w:rFonts w:hint="eastAsia" w:ascii="黑体" w:hAnsi="宋体" w:eastAsia="黑体" w:cs="黑体"/>
          <w:b w:val="0"/>
          <w:i w:val="0"/>
          <w:caps w:val="0"/>
          <w:color w:val="auto"/>
          <w:spacing w:val="0"/>
          <w:kern w:val="0"/>
          <w:sz w:val="32"/>
          <w:szCs w:val="32"/>
          <w:lang w:val="en-US" w:eastAsia="zh-CN" w:bidi="ar"/>
        </w:rPr>
        <w:t>十一、文化旅游、卫生健康和体育</w:t>
      </w:r>
    </w:p>
    <w:p>
      <w:pPr>
        <w:pageBreakBefore w:val="0"/>
        <w:kinsoku/>
        <w:wordWrap/>
        <w:overflowPunct/>
        <w:topLinePunct w:val="0"/>
        <w:bidi w:val="0"/>
        <w:snapToGrid/>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年末全市共有各类艺术表演团体4个，比上年末持平；文化艺术馆 1 个，公共图书馆1个，博物馆 1个，数量均与上年持平。村级文体活动室312间，</w:t>
      </w:r>
      <w:r>
        <w:rPr>
          <w:rFonts w:hint="eastAsia" w:ascii="仿宋" w:hAnsi="仿宋" w:eastAsia="仿宋" w:cs="仿宋"/>
          <w:sz w:val="32"/>
          <w:szCs w:val="32"/>
          <w:lang w:eastAsia="zh-CN"/>
        </w:rPr>
        <w:t>比</w:t>
      </w:r>
      <w:r>
        <w:rPr>
          <w:rFonts w:hint="eastAsia" w:ascii="仿宋" w:hAnsi="仿宋" w:eastAsia="仿宋" w:cs="仿宋"/>
          <w:sz w:val="32"/>
          <w:szCs w:val="32"/>
        </w:rPr>
        <w:t>上年增长16.9%。</w:t>
      </w:r>
    </w:p>
    <w:p>
      <w:pPr>
        <w:pageBreakBefore w:val="0"/>
        <w:kinsoku/>
        <w:wordWrap/>
        <w:overflowPunct/>
        <w:topLinePunct w:val="0"/>
        <w:bidi w:val="0"/>
        <w:snapToGrid/>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文艺精品创作结硕果。琼剧《椰乡儿女》入选2020年全国基层戏曲院团网络会演参演作品，是全省唯一入选的戏曲。我市组织编排参演第17届东西南北中广场文艺会演的节目舞蹈《逐梦云天外》获得一等奖，情景剧《去龙楼看发射》和舞蹈《心有翎兮》获得二等奖，独唱歌曲《海文大桥通四海》获得三等奖，市旅文局获得优秀组织奖。</w:t>
      </w:r>
    </w:p>
    <w:p>
      <w:pPr>
        <w:pageBreakBefore w:val="0"/>
        <w:kinsoku/>
        <w:wordWrap/>
        <w:overflowPunct/>
        <w:topLinePunct w:val="0"/>
        <w:bidi w:val="0"/>
        <w:snapToGrid/>
        <w:spacing w:line="360" w:lineRule="auto"/>
        <w:ind w:firstLine="640" w:firstLineChars="200"/>
        <w:rPr>
          <w:rFonts w:hint="eastAsia"/>
        </w:rPr>
      </w:pPr>
      <w:r>
        <w:rPr>
          <w:rFonts w:hint="eastAsia" w:ascii="仿宋" w:hAnsi="仿宋" w:eastAsia="仿宋" w:cs="仿宋"/>
          <w:sz w:val="32"/>
          <w:szCs w:val="32"/>
        </w:rPr>
        <w:t>2020年全市接待游客总数达354.01万人次（含候鸟人数），</w:t>
      </w:r>
      <w:r>
        <w:rPr>
          <w:rFonts w:hint="eastAsia" w:ascii="仿宋" w:hAnsi="仿宋" w:eastAsia="仿宋" w:cs="仿宋"/>
          <w:sz w:val="32"/>
          <w:szCs w:val="32"/>
          <w:lang w:eastAsia="zh-CN"/>
        </w:rPr>
        <w:t>比上年</w:t>
      </w:r>
      <w:r>
        <w:rPr>
          <w:rFonts w:hint="eastAsia" w:ascii="仿宋" w:hAnsi="仿宋" w:eastAsia="仿宋" w:cs="仿宋"/>
          <w:sz w:val="32"/>
          <w:szCs w:val="32"/>
        </w:rPr>
        <w:t>下降9.6%</w:t>
      </w:r>
      <w:r>
        <w:rPr>
          <w:rFonts w:hint="eastAsia" w:ascii="仿宋" w:hAnsi="仿宋" w:eastAsia="仿宋" w:cs="仿宋"/>
          <w:sz w:val="32"/>
          <w:szCs w:val="32"/>
          <w:lang w:eastAsia="zh-CN"/>
        </w:rPr>
        <w:t>（按同口径对比）</w:t>
      </w:r>
      <w:r>
        <w:rPr>
          <w:rFonts w:hint="eastAsia" w:ascii="仿宋" w:hAnsi="仿宋" w:eastAsia="仿宋" w:cs="仿宋"/>
          <w:sz w:val="32"/>
          <w:szCs w:val="32"/>
        </w:rPr>
        <w:t>，其中</w:t>
      </w:r>
      <w:r>
        <w:rPr>
          <w:rFonts w:hint="eastAsia" w:ascii="仿宋" w:hAnsi="仿宋" w:eastAsia="仿宋" w:cs="仿宋"/>
          <w:sz w:val="32"/>
          <w:szCs w:val="32"/>
          <w:lang w:eastAsia="zh-CN"/>
        </w:rPr>
        <w:t>，</w:t>
      </w:r>
      <w:r>
        <w:rPr>
          <w:rFonts w:hint="eastAsia" w:ascii="仿宋" w:hAnsi="仿宋" w:eastAsia="仿宋" w:cs="仿宋"/>
          <w:sz w:val="32"/>
          <w:szCs w:val="32"/>
        </w:rPr>
        <w:t>接待过夜游客259.87万人次（含候鸟人数），</w:t>
      </w:r>
      <w:r>
        <w:rPr>
          <w:rFonts w:hint="eastAsia" w:ascii="仿宋" w:hAnsi="仿宋" w:eastAsia="仿宋" w:cs="仿宋"/>
          <w:sz w:val="32"/>
          <w:szCs w:val="32"/>
          <w:lang w:eastAsia="zh-CN"/>
        </w:rPr>
        <w:t>比上年</w:t>
      </w:r>
      <w:r>
        <w:rPr>
          <w:rFonts w:hint="eastAsia" w:ascii="仿宋" w:hAnsi="仿宋" w:eastAsia="仿宋" w:cs="仿宋"/>
          <w:sz w:val="32"/>
          <w:szCs w:val="32"/>
        </w:rPr>
        <w:t>下降6%</w:t>
      </w:r>
      <w:r>
        <w:rPr>
          <w:rFonts w:hint="eastAsia" w:ascii="仿宋" w:hAnsi="仿宋" w:eastAsia="仿宋" w:cs="仿宋"/>
          <w:sz w:val="32"/>
          <w:szCs w:val="32"/>
          <w:lang w:eastAsia="zh-CN"/>
        </w:rPr>
        <w:t>（按同口径对比）</w:t>
      </w:r>
      <w:r>
        <w:rPr>
          <w:rFonts w:hint="eastAsia" w:ascii="仿宋" w:hAnsi="仿宋" w:eastAsia="仿宋" w:cs="仿宋"/>
          <w:sz w:val="32"/>
          <w:szCs w:val="32"/>
        </w:rPr>
        <w:t>，接待一日游游客94.14万人次，</w:t>
      </w:r>
      <w:r>
        <w:rPr>
          <w:rFonts w:hint="eastAsia" w:ascii="仿宋" w:hAnsi="仿宋" w:eastAsia="仿宋" w:cs="仿宋"/>
          <w:sz w:val="32"/>
          <w:szCs w:val="32"/>
          <w:lang w:eastAsia="zh-CN"/>
        </w:rPr>
        <w:t>比上年</w:t>
      </w:r>
      <w:r>
        <w:rPr>
          <w:rFonts w:hint="eastAsia" w:ascii="仿宋" w:hAnsi="仿宋" w:eastAsia="仿宋" w:cs="仿宋"/>
          <w:sz w:val="32"/>
          <w:szCs w:val="32"/>
        </w:rPr>
        <w:t>下降18.1%</w:t>
      </w:r>
      <w:r>
        <w:rPr>
          <w:rFonts w:hint="eastAsia" w:ascii="仿宋" w:hAnsi="仿宋" w:eastAsia="仿宋" w:cs="仿宋"/>
          <w:sz w:val="32"/>
          <w:szCs w:val="32"/>
          <w:lang w:eastAsia="zh-CN"/>
        </w:rPr>
        <w:t>。</w:t>
      </w:r>
      <w:r>
        <w:rPr>
          <w:rFonts w:hint="eastAsia" w:ascii="仿宋" w:hAnsi="仿宋" w:eastAsia="仿宋" w:cs="仿宋"/>
          <w:sz w:val="32"/>
          <w:szCs w:val="32"/>
        </w:rPr>
        <w:t>旅游总收入达24.56亿元（含候鸟收入），比上年同期增长7.5%</w:t>
      </w:r>
      <w:r>
        <w:rPr>
          <w:rFonts w:hint="eastAsia" w:ascii="仿宋" w:hAnsi="仿宋" w:eastAsia="仿宋" w:cs="仿宋"/>
          <w:sz w:val="32"/>
          <w:szCs w:val="32"/>
          <w:lang w:eastAsia="zh-CN"/>
        </w:rPr>
        <w:t>（按同口径对比）</w:t>
      </w:r>
      <w:r>
        <w:rPr>
          <w:rFonts w:hint="eastAsia" w:ascii="仿宋" w:hAnsi="仿宋" w:eastAsia="仿宋" w:cs="仿宋"/>
          <w:sz w:val="32"/>
          <w:szCs w:val="32"/>
        </w:rPr>
        <w:t>。年末全</w:t>
      </w:r>
      <w:r>
        <w:rPr>
          <w:rFonts w:hint="eastAsia" w:ascii="仿宋" w:hAnsi="仿宋" w:eastAsia="仿宋" w:cs="仿宋"/>
          <w:sz w:val="32"/>
          <w:szCs w:val="32"/>
          <w:lang w:eastAsia="zh-CN"/>
        </w:rPr>
        <w:t>市</w:t>
      </w:r>
      <w:r>
        <w:rPr>
          <w:rFonts w:hint="eastAsia" w:ascii="仿宋" w:hAnsi="仿宋" w:eastAsia="仿宋" w:cs="仿宋"/>
          <w:sz w:val="32"/>
          <w:szCs w:val="32"/>
        </w:rPr>
        <w:t>共有挂牌星级宾馆酒店</w:t>
      </w:r>
      <w:r>
        <w:rPr>
          <w:rFonts w:hint="eastAsia" w:ascii="仿宋" w:hAnsi="仿宋" w:eastAsia="仿宋" w:cs="仿宋"/>
          <w:sz w:val="32"/>
          <w:szCs w:val="32"/>
          <w:lang w:val="en-US" w:eastAsia="zh-CN"/>
        </w:rPr>
        <w:t>3</w:t>
      </w:r>
      <w:r>
        <w:rPr>
          <w:rFonts w:hint="eastAsia" w:ascii="仿宋" w:hAnsi="仿宋" w:eastAsia="仿宋" w:cs="仿宋"/>
          <w:sz w:val="32"/>
          <w:szCs w:val="32"/>
        </w:rPr>
        <w:t>家，其中五星级</w:t>
      </w:r>
      <w:r>
        <w:rPr>
          <w:rFonts w:hint="eastAsia" w:ascii="仿宋" w:hAnsi="仿宋" w:eastAsia="仿宋" w:cs="仿宋"/>
          <w:sz w:val="32"/>
          <w:szCs w:val="32"/>
          <w:lang w:val="en-US" w:eastAsia="zh-CN"/>
        </w:rPr>
        <w:t>1</w:t>
      </w:r>
      <w:r>
        <w:rPr>
          <w:rFonts w:hint="eastAsia" w:ascii="仿宋" w:hAnsi="仿宋" w:eastAsia="仿宋" w:cs="仿宋"/>
          <w:sz w:val="32"/>
          <w:szCs w:val="32"/>
        </w:rPr>
        <w:t>家，三星级</w:t>
      </w:r>
      <w:r>
        <w:rPr>
          <w:rFonts w:hint="eastAsia" w:ascii="仿宋" w:hAnsi="仿宋" w:eastAsia="仿宋" w:cs="仿宋"/>
          <w:sz w:val="32"/>
          <w:szCs w:val="32"/>
          <w:lang w:val="en-US" w:eastAsia="zh-CN"/>
        </w:rPr>
        <w:t>2</w:t>
      </w:r>
      <w:r>
        <w:rPr>
          <w:rFonts w:hint="eastAsia" w:ascii="仿宋" w:hAnsi="仿宋" w:eastAsia="仿宋" w:cs="仿宋"/>
          <w:sz w:val="32"/>
          <w:szCs w:val="32"/>
        </w:rPr>
        <w:t>家</w:t>
      </w:r>
      <w:r>
        <w:rPr>
          <w:rFonts w:hint="eastAsia" w:ascii="仿宋" w:hAnsi="仿宋" w:eastAsia="仿宋" w:cs="仿宋"/>
          <w:sz w:val="32"/>
          <w:szCs w:val="32"/>
          <w:lang w:eastAsia="zh-CN"/>
        </w:rPr>
        <w:t>；年末全市共有</w:t>
      </w:r>
      <w:r>
        <w:rPr>
          <w:rFonts w:hint="eastAsia" w:ascii="仿宋" w:hAnsi="仿宋" w:eastAsia="仿宋" w:cs="仿宋"/>
          <w:sz w:val="32"/>
          <w:szCs w:val="32"/>
          <w:lang w:val="en-US" w:eastAsia="zh-CN"/>
        </w:rPr>
        <w:t>3A级景区5家，椰级乡村旅游点14个，其中五椰级2家，三椰级4家，二椰级6家，一椰级2家</w:t>
      </w:r>
      <w:r>
        <w:rPr>
          <w:rFonts w:hint="eastAsia" w:ascii="仿宋" w:hAnsi="仿宋" w:eastAsia="仿宋" w:cs="仿宋"/>
          <w:sz w:val="32"/>
          <w:szCs w:val="32"/>
        </w:rPr>
        <w:t>。</w:t>
      </w:r>
    </w:p>
    <w:p>
      <w:pPr>
        <w:pageBreakBefore w:val="0"/>
        <w:kinsoku/>
        <w:wordWrap/>
        <w:overflowPunct/>
        <w:topLinePunct w:val="0"/>
        <w:bidi w:val="0"/>
        <w:snapToGrid/>
        <w:spacing w:line="360" w:lineRule="auto"/>
        <w:ind w:left="0" w:leftChars="0" w:right="0" w:rightChars="0"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初步统计,</w:t>
      </w:r>
      <w:r>
        <w:rPr>
          <w:rFonts w:hint="eastAsia" w:ascii="仿宋_GB2312" w:hAnsi="仿宋_GB2312" w:eastAsia="仿宋_GB2312" w:cs="仿宋_GB2312"/>
          <w:b w:val="0"/>
          <w:bCs w:val="0"/>
          <w:color w:val="auto"/>
          <w:sz w:val="32"/>
          <w:szCs w:val="32"/>
          <w:lang w:eastAsia="zh-CN"/>
        </w:rPr>
        <w:t>截至</w:t>
      </w:r>
      <w:r>
        <w:rPr>
          <w:rFonts w:hint="eastAsia" w:ascii="仿宋_GB2312" w:hAnsi="仿宋_GB2312" w:eastAsia="仿宋_GB2312" w:cs="仿宋_GB2312"/>
          <w:b w:val="0"/>
          <w:bCs w:val="0"/>
          <w:color w:val="auto"/>
          <w:sz w:val="32"/>
          <w:szCs w:val="32"/>
          <w:lang w:val="en-US" w:eastAsia="zh-CN"/>
        </w:rPr>
        <w:t>2020年底，</w:t>
      </w:r>
      <w:r>
        <w:rPr>
          <w:rFonts w:hint="eastAsia" w:ascii="仿宋_GB2312" w:hAnsi="仿宋_GB2312" w:eastAsia="仿宋_GB2312" w:cs="仿宋_GB2312"/>
          <w:b w:val="0"/>
          <w:bCs w:val="0"/>
          <w:color w:val="auto"/>
          <w:sz w:val="32"/>
          <w:szCs w:val="32"/>
        </w:rPr>
        <w:t>全</w:t>
      </w:r>
      <w:r>
        <w:rPr>
          <w:rFonts w:hint="eastAsia" w:ascii="仿宋_GB2312" w:hAnsi="仿宋_GB2312" w:eastAsia="仿宋_GB2312" w:cs="仿宋_GB2312"/>
          <w:b w:val="0"/>
          <w:bCs w:val="0"/>
          <w:color w:val="auto"/>
          <w:sz w:val="32"/>
          <w:szCs w:val="32"/>
          <w:lang w:eastAsia="zh-CN"/>
        </w:rPr>
        <w:t>市</w:t>
      </w:r>
      <w:r>
        <w:rPr>
          <w:rFonts w:hint="eastAsia" w:ascii="仿宋_GB2312" w:hAnsi="仿宋_GB2312" w:eastAsia="仿宋_GB2312" w:cs="仿宋_GB2312"/>
          <w:b w:val="0"/>
          <w:bCs w:val="0"/>
          <w:color w:val="auto"/>
          <w:sz w:val="32"/>
          <w:szCs w:val="32"/>
        </w:rPr>
        <w:t>共有</w:t>
      </w:r>
      <w:r>
        <w:rPr>
          <w:rFonts w:hint="eastAsia" w:ascii="仿宋_GB2312" w:hAnsi="仿宋_GB2312" w:eastAsia="仿宋_GB2312" w:cs="仿宋_GB2312"/>
          <w:b w:val="0"/>
          <w:bCs w:val="0"/>
          <w:color w:val="auto"/>
          <w:sz w:val="32"/>
          <w:szCs w:val="32"/>
          <w:lang w:eastAsia="zh-CN"/>
        </w:rPr>
        <w:t>医疗</w:t>
      </w:r>
      <w:r>
        <w:rPr>
          <w:rFonts w:hint="eastAsia" w:ascii="仿宋_GB2312" w:hAnsi="仿宋_GB2312" w:eastAsia="仿宋_GB2312" w:cs="仿宋_GB2312"/>
          <w:b w:val="0"/>
          <w:bCs w:val="0"/>
          <w:color w:val="auto"/>
          <w:sz w:val="32"/>
          <w:szCs w:val="32"/>
        </w:rPr>
        <w:t>卫生机构</w:t>
      </w:r>
      <w:r>
        <w:rPr>
          <w:rFonts w:hint="eastAsia" w:ascii="仿宋_GB2312" w:hAnsi="仿宋_GB2312" w:eastAsia="仿宋_GB2312" w:cs="仿宋_GB2312"/>
          <w:b w:val="0"/>
          <w:bCs w:val="0"/>
          <w:color w:val="auto"/>
          <w:sz w:val="32"/>
          <w:szCs w:val="32"/>
          <w:lang w:val="en-US" w:eastAsia="zh-CN"/>
        </w:rPr>
        <w:t>332</w:t>
      </w:r>
      <w:r>
        <w:rPr>
          <w:rFonts w:hint="eastAsia" w:ascii="仿宋_GB2312" w:hAnsi="仿宋_GB2312" w:eastAsia="仿宋_GB2312" w:cs="仿宋_GB2312"/>
          <w:b w:val="0"/>
          <w:bCs w:val="0"/>
          <w:color w:val="auto"/>
          <w:sz w:val="32"/>
          <w:szCs w:val="32"/>
        </w:rPr>
        <w:t>个,其中</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医院(</w:t>
      </w:r>
      <w:r>
        <w:rPr>
          <w:rFonts w:hint="eastAsia" w:ascii="仿宋_GB2312" w:hAnsi="仿宋_GB2312" w:eastAsia="仿宋_GB2312" w:cs="仿宋_GB2312"/>
          <w:b w:val="0"/>
          <w:bCs w:val="0"/>
          <w:color w:val="auto"/>
          <w:sz w:val="32"/>
          <w:szCs w:val="32"/>
          <w:lang w:eastAsia="zh-CN"/>
        </w:rPr>
        <w:t>含</w:t>
      </w:r>
      <w:r>
        <w:rPr>
          <w:rFonts w:hint="eastAsia" w:ascii="仿宋_GB2312" w:hAnsi="仿宋_GB2312" w:eastAsia="仿宋_GB2312" w:cs="仿宋_GB2312"/>
          <w:b w:val="0"/>
          <w:bCs w:val="0"/>
          <w:color w:val="auto"/>
          <w:sz w:val="32"/>
          <w:szCs w:val="32"/>
        </w:rPr>
        <w:t>卫生院</w:t>
      </w:r>
      <w:r>
        <w:rPr>
          <w:rFonts w:hint="eastAsia" w:ascii="仿宋_GB2312" w:hAnsi="仿宋_GB2312" w:eastAsia="仿宋_GB2312" w:cs="仿宋_GB2312"/>
          <w:b w:val="0"/>
          <w:bCs w:val="0"/>
          <w:color w:val="auto"/>
          <w:sz w:val="32"/>
          <w:szCs w:val="32"/>
          <w:lang w:eastAsia="zh-CN"/>
        </w:rPr>
        <w:t>、农场医院</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38</w:t>
      </w:r>
      <w:r>
        <w:rPr>
          <w:rFonts w:hint="eastAsia" w:ascii="仿宋_GB2312" w:hAnsi="仿宋_GB2312" w:eastAsia="仿宋_GB2312" w:cs="仿宋_GB2312"/>
          <w:b w:val="0"/>
          <w:bCs w:val="0"/>
          <w:color w:val="auto"/>
          <w:sz w:val="32"/>
          <w:szCs w:val="32"/>
        </w:rPr>
        <w:t>个</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疾病预防控制中心</w:t>
      </w:r>
      <w:r>
        <w:rPr>
          <w:rFonts w:hint="eastAsia" w:ascii="仿宋_GB2312" w:hAnsi="仿宋_GB2312" w:eastAsia="仿宋_GB2312" w:cs="仿宋_GB2312"/>
          <w:b w:val="0"/>
          <w:bCs w:val="0"/>
          <w:color w:val="auto"/>
          <w:sz w:val="32"/>
          <w:szCs w:val="32"/>
          <w:lang w:val="en-US" w:eastAsia="zh-CN"/>
        </w:rPr>
        <w:t>1个，妇幼保健院（所、站）1个，</w:t>
      </w:r>
      <w:r>
        <w:rPr>
          <w:rFonts w:hint="eastAsia" w:ascii="仿宋_GB2312" w:hAnsi="仿宋_GB2312" w:eastAsia="仿宋_GB2312" w:cs="仿宋_GB2312"/>
          <w:b w:val="0"/>
          <w:bCs w:val="0"/>
          <w:color w:val="auto"/>
          <w:sz w:val="32"/>
          <w:szCs w:val="32"/>
        </w:rPr>
        <w:t>社区卫生服务中心(站)</w:t>
      </w:r>
      <w:r>
        <w:rPr>
          <w:rFonts w:hint="eastAsia" w:ascii="仿宋_GB2312" w:hAnsi="仿宋_GB2312" w:eastAsia="仿宋_GB2312" w:cs="仿宋_GB2312"/>
          <w:b w:val="0"/>
          <w:bCs w:val="0"/>
          <w:color w:val="auto"/>
          <w:sz w:val="32"/>
          <w:szCs w:val="32"/>
          <w:lang w:val="en-US" w:eastAsia="zh-CN"/>
        </w:rPr>
        <w:t>7</w:t>
      </w:r>
      <w:r>
        <w:rPr>
          <w:rFonts w:hint="eastAsia" w:ascii="仿宋_GB2312" w:hAnsi="仿宋_GB2312" w:eastAsia="仿宋_GB2312" w:cs="仿宋_GB2312"/>
          <w:b w:val="0"/>
          <w:bCs w:val="0"/>
          <w:color w:val="auto"/>
          <w:sz w:val="32"/>
          <w:szCs w:val="32"/>
        </w:rPr>
        <w:t>个</w:t>
      </w:r>
      <w:r>
        <w:rPr>
          <w:rFonts w:hint="eastAsia" w:ascii="仿宋_GB2312" w:hAnsi="仿宋_GB2312" w:eastAsia="仿宋_GB2312" w:cs="仿宋_GB2312"/>
          <w:b w:val="0"/>
          <w:bCs w:val="0"/>
          <w:color w:val="auto"/>
          <w:sz w:val="32"/>
          <w:szCs w:val="32"/>
          <w:lang w:val="en-US" w:eastAsia="zh-CN"/>
        </w:rPr>
        <w:t>（其中服务中心1个）</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医疗卫生机构病床位</w:t>
      </w:r>
      <w:r>
        <w:rPr>
          <w:rFonts w:hint="eastAsia" w:ascii="仿宋_GB2312" w:hAnsi="仿宋_GB2312" w:eastAsia="仿宋_GB2312" w:cs="仿宋_GB2312"/>
          <w:b w:val="0"/>
          <w:bCs w:val="0"/>
          <w:color w:val="auto"/>
          <w:sz w:val="32"/>
          <w:szCs w:val="32"/>
          <w:lang w:val="en-US" w:eastAsia="zh-CN"/>
        </w:rPr>
        <w:t>1873</w:t>
      </w:r>
      <w:r>
        <w:rPr>
          <w:rFonts w:hint="eastAsia" w:ascii="仿宋_GB2312" w:hAnsi="仿宋_GB2312" w:eastAsia="仿宋_GB2312" w:cs="仿宋_GB2312"/>
          <w:b w:val="0"/>
          <w:bCs w:val="0"/>
          <w:color w:val="auto"/>
          <w:sz w:val="32"/>
          <w:szCs w:val="32"/>
        </w:rPr>
        <w:t>张,其中医院和卫生院</w:t>
      </w:r>
      <w:r>
        <w:rPr>
          <w:rFonts w:hint="eastAsia" w:ascii="仿宋_GB2312" w:hAnsi="仿宋_GB2312" w:eastAsia="仿宋_GB2312" w:cs="仿宋_GB2312"/>
          <w:b w:val="0"/>
          <w:bCs w:val="0"/>
          <w:color w:val="auto"/>
          <w:sz w:val="32"/>
          <w:szCs w:val="32"/>
          <w:lang w:val="en-US" w:eastAsia="zh-CN"/>
        </w:rPr>
        <w:t>1769</w:t>
      </w:r>
      <w:r>
        <w:rPr>
          <w:rFonts w:hint="eastAsia" w:ascii="仿宋_GB2312" w:hAnsi="仿宋_GB2312" w:eastAsia="仿宋_GB2312" w:cs="仿宋_GB2312"/>
          <w:b w:val="0"/>
          <w:bCs w:val="0"/>
          <w:color w:val="auto"/>
          <w:sz w:val="32"/>
          <w:szCs w:val="32"/>
        </w:rPr>
        <w:t>张</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卫生机构人员总数为</w:t>
      </w:r>
      <w:r>
        <w:rPr>
          <w:rFonts w:hint="eastAsia" w:ascii="仿宋_GB2312" w:hAnsi="仿宋_GB2312" w:eastAsia="仿宋_GB2312" w:cs="仿宋_GB2312"/>
          <w:b w:val="0"/>
          <w:bCs w:val="0"/>
          <w:color w:val="auto"/>
          <w:sz w:val="32"/>
          <w:szCs w:val="32"/>
          <w:lang w:val="en-US" w:eastAsia="zh-CN"/>
        </w:rPr>
        <w:t>3410</w:t>
      </w:r>
      <w:r>
        <w:rPr>
          <w:rFonts w:hint="eastAsia" w:ascii="仿宋_GB2312" w:hAnsi="仿宋_GB2312" w:eastAsia="仿宋_GB2312" w:cs="仿宋_GB2312"/>
          <w:b w:val="0"/>
          <w:bCs w:val="0"/>
          <w:color w:val="auto"/>
          <w:sz w:val="32"/>
          <w:szCs w:val="32"/>
        </w:rPr>
        <w:t>人,其中各类卫生技术人员</w:t>
      </w:r>
      <w:r>
        <w:rPr>
          <w:rFonts w:hint="eastAsia" w:ascii="仿宋_GB2312" w:hAnsi="仿宋_GB2312" w:eastAsia="仿宋_GB2312" w:cs="仿宋_GB2312"/>
          <w:b w:val="0"/>
          <w:bCs w:val="0"/>
          <w:color w:val="auto"/>
          <w:sz w:val="32"/>
          <w:szCs w:val="32"/>
          <w:lang w:val="en-US" w:eastAsia="zh-CN"/>
        </w:rPr>
        <w:t>2736</w:t>
      </w:r>
      <w:r>
        <w:rPr>
          <w:rFonts w:hint="eastAsia" w:ascii="仿宋_GB2312" w:hAnsi="仿宋_GB2312" w:eastAsia="仿宋_GB2312" w:cs="仿宋_GB2312"/>
          <w:b w:val="0"/>
          <w:bCs w:val="0"/>
          <w:color w:val="auto"/>
          <w:sz w:val="32"/>
          <w:szCs w:val="32"/>
        </w:rPr>
        <w:t>人。执业医师和执业助理医师</w:t>
      </w:r>
      <w:r>
        <w:rPr>
          <w:rFonts w:hint="eastAsia" w:ascii="仿宋_GB2312" w:hAnsi="仿宋_GB2312" w:eastAsia="仿宋_GB2312" w:cs="仿宋_GB2312"/>
          <w:b w:val="0"/>
          <w:bCs w:val="0"/>
          <w:color w:val="auto"/>
          <w:sz w:val="32"/>
          <w:szCs w:val="32"/>
          <w:lang w:val="en-US" w:eastAsia="zh-CN"/>
        </w:rPr>
        <w:t>1168</w:t>
      </w:r>
      <w:r>
        <w:rPr>
          <w:rFonts w:hint="eastAsia" w:ascii="仿宋_GB2312" w:hAnsi="仿宋_GB2312" w:eastAsia="仿宋_GB2312" w:cs="仿宋_GB2312"/>
          <w:b w:val="0"/>
          <w:bCs w:val="0"/>
          <w:color w:val="auto"/>
          <w:sz w:val="32"/>
          <w:szCs w:val="32"/>
        </w:rPr>
        <w:t>人,注册护士</w:t>
      </w:r>
      <w:r>
        <w:rPr>
          <w:rFonts w:hint="eastAsia" w:ascii="仿宋_GB2312" w:hAnsi="仿宋_GB2312" w:eastAsia="仿宋_GB2312" w:cs="仿宋_GB2312"/>
          <w:b w:val="0"/>
          <w:bCs w:val="0"/>
          <w:color w:val="auto"/>
          <w:sz w:val="32"/>
          <w:szCs w:val="32"/>
          <w:lang w:val="en-US" w:eastAsia="zh-CN"/>
        </w:rPr>
        <w:t>1393</w:t>
      </w:r>
      <w:r>
        <w:rPr>
          <w:rFonts w:hint="eastAsia" w:ascii="仿宋_GB2312" w:hAnsi="仿宋_GB2312" w:eastAsia="仿宋_GB2312" w:cs="仿宋_GB2312"/>
          <w:b w:val="0"/>
          <w:bCs w:val="0"/>
          <w:color w:val="auto"/>
          <w:sz w:val="32"/>
          <w:szCs w:val="32"/>
        </w:rPr>
        <w:t>人</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2020年全市无甲类传染病报告。报告乙类传染病10种2349例，死亡2种3例（艾滋病2例、梅毒1例、HIV不列入计数1例），病例数占报告病例总数的74.17%，年发病率408.38/10万，年死亡率0.52/10万，年病死率0.13%。与2019年相比，报告发病数减少223例，发病数下降8.67%。死亡数增加1例，死亡数增加50%。</w:t>
      </w:r>
    </w:p>
    <w:p>
      <w:pPr>
        <w:pageBreakBefore w:val="0"/>
        <w:widowControl/>
        <w:kinsoku/>
        <w:wordWrap/>
        <w:overflowPunct/>
        <w:topLinePunct w:val="0"/>
        <w:bidi w:val="0"/>
        <w:snapToGrid/>
        <w:spacing w:before="0" w:beforeAutospacing="0" w:after="0" w:afterAutospacing="0" w:line="360" w:lineRule="auto"/>
        <w:ind w:firstLine="640" w:firstLineChars="200"/>
        <w:jc w:val="left"/>
        <w:textAlignment w:val="baseline"/>
        <w:rPr>
          <w:rStyle w:val="18"/>
          <w:rFonts w:ascii="仿宋" w:hAnsi="仿宋" w:eastAsia="仿宋"/>
          <w:b w:val="0"/>
          <w:i w:val="0"/>
          <w:caps w:val="0"/>
          <w:spacing w:val="0"/>
          <w:w w:val="100"/>
          <w:kern w:val="2"/>
          <w:sz w:val="32"/>
          <w:szCs w:val="32"/>
          <w:lang w:val="en-US" w:eastAsia="zh-CN" w:bidi="ar-SA"/>
        </w:rPr>
      </w:pPr>
      <w:r>
        <w:rPr>
          <w:rStyle w:val="18"/>
          <w:rFonts w:ascii="仿宋" w:hAnsi="仿宋" w:eastAsia="仿宋"/>
          <w:b w:val="0"/>
          <w:i w:val="0"/>
          <w:caps w:val="0"/>
          <w:spacing w:val="0"/>
          <w:w w:val="100"/>
          <w:kern w:val="2"/>
          <w:sz w:val="32"/>
          <w:szCs w:val="32"/>
          <w:lang w:val="en-US" w:eastAsia="zh-CN" w:bidi="ar-SA"/>
        </w:rPr>
        <w:t>竞技体育实力不断提升</w:t>
      </w:r>
      <w:r>
        <w:rPr>
          <w:rStyle w:val="18"/>
          <w:rFonts w:hint="eastAsia" w:ascii="仿宋" w:hAnsi="仿宋" w:eastAsia="仿宋"/>
          <w:b w:val="0"/>
          <w:i w:val="0"/>
          <w:caps w:val="0"/>
          <w:spacing w:val="0"/>
          <w:w w:val="100"/>
          <w:kern w:val="2"/>
          <w:sz w:val="32"/>
          <w:szCs w:val="32"/>
          <w:lang w:val="en-US" w:eastAsia="zh-CN" w:bidi="ar-SA"/>
        </w:rPr>
        <w:t>。</w:t>
      </w:r>
      <w:r>
        <w:rPr>
          <w:rStyle w:val="18"/>
          <w:rFonts w:ascii="仿宋" w:hAnsi="仿宋" w:eastAsia="仿宋"/>
          <w:b w:val="0"/>
          <w:i w:val="0"/>
          <w:caps w:val="0"/>
          <w:spacing w:val="0"/>
          <w:w w:val="100"/>
          <w:kern w:val="2"/>
          <w:sz w:val="32"/>
          <w:szCs w:val="32"/>
          <w:lang w:val="en-US" w:eastAsia="zh-CN" w:bidi="ar-SA"/>
        </w:rPr>
        <w:t>我市业余体校排球队代表海南省参加第二届全国青年运动会“山投集团杯”男子排球U16（社会俱乐部组）比赛获得第6名的成绩，为海南省参加青运会该项目级别中历史最好成绩；组织文昌中学田径队参加2019年全国中学生田径锦标赛，赢得初中男子组4×400米接力第2名并打破全国纪录</w:t>
      </w:r>
      <w:r>
        <w:rPr>
          <w:rStyle w:val="18"/>
          <w:rFonts w:hint="eastAsia" w:ascii="仿宋" w:hAnsi="仿宋" w:eastAsia="仿宋"/>
          <w:b w:val="0"/>
          <w:i w:val="0"/>
          <w:caps w:val="0"/>
          <w:spacing w:val="0"/>
          <w:w w:val="100"/>
          <w:kern w:val="2"/>
          <w:sz w:val="32"/>
          <w:szCs w:val="32"/>
          <w:lang w:val="en-US" w:eastAsia="zh-CN" w:bidi="ar-SA"/>
        </w:rPr>
        <w:t>；</w:t>
      </w:r>
      <w:r>
        <w:rPr>
          <w:rStyle w:val="18"/>
          <w:rFonts w:ascii="仿宋" w:hAnsi="仿宋" w:eastAsia="仿宋"/>
          <w:b w:val="0"/>
          <w:i w:val="0"/>
          <w:caps w:val="0"/>
          <w:spacing w:val="0"/>
          <w:w w:val="100"/>
          <w:kern w:val="2"/>
          <w:sz w:val="32"/>
          <w:szCs w:val="32"/>
          <w:lang w:val="en-US" w:eastAsia="zh-CN" w:bidi="ar-SA"/>
        </w:rPr>
        <w:t>全市各体育竞技项目参加省级以上比赛共获得前三名32个，四到八名40个。</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sz w:val="21"/>
          <w:szCs w:val="21"/>
        </w:rPr>
      </w:pPr>
      <w:r>
        <w:rPr>
          <w:rFonts w:hint="eastAsia" w:ascii="黑体" w:hAnsi="宋体" w:eastAsia="黑体" w:cs="黑体"/>
          <w:b w:val="0"/>
          <w:i w:val="0"/>
          <w:caps w:val="0"/>
          <w:color w:val="000000"/>
          <w:spacing w:val="0"/>
          <w:kern w:val="0"/>
          <w:sz w:val="32"/>
          <w:szCs w:val="32"/>
          <w:lang w:val="en-US" w:eastAsia="zh-CN" w:bidi="ar"/>
        </w:rPr>
        <w:t>十二、资源、环境和应急管理</w:t>
      </w:r>
    </w:p>
    <w:p>
      <w:pPr>
        <w:pStyle w:val="11"/>
        <w:pageBreakBefore w:val="0"/>
        <w:kinsoku/>
        <w:wordWrap/>
        <w:overflowPunct/>
        <w:topLinePunct w:val="0"/>
        <w:bidi w:val="0"/>
        <w:snapToGrid/>
        <w:spacing w:line="360" w:lineRule="auto"/>
        <w:ind w:left="0" w:leftChars="0" w:right="0" w:rightChars="0" w:firstLine="640" w:firstLineChars="200"/>
        <w:rPr>
          <w:rFonts w:hint="eastAsia" w:ascii="仿宋_GB2312" w:hAnsi="微软雅黑" w:eastAsia="仿宋_GB2312" w:cs="仿宋_GB2312"/>
          <w:b w:val="0"/>
          <w:i w:val="0"/>
          <w:caps w:val="0"/>
          <w:color w:val="000000"/>
          <w:spacing w:val="0"/>
          <w:kern w:val="0"/>
          <w:sz w:val="32"/>
          <w:szCs w:val="32"/>
          <w:lang w:val="en-US" w:eastAsia="zh-CN" w:bidi="ar"/>
        </w:rPr>
      </w:pPr>
      <w:r>
        <w:rPr>
          <w:rFonts w:hint="eastAsia" w:ascii="仿宋_GB2312" w:hAnsi="微软雅黑" w:eastAsia="仿宋_GB2312" w:cs="仿宋_GB2312"/>
          <w:b w:val="0"/>
          <w:i w:val="0"/>
          <w:caps w:val="0"/>
          <w:color w:val="000000"/>
          <w:spacing w:val="0"/>
          <w:kern w:val="0"/>
          <w:sz w:val="32"/>
          <w:szCs w:val="32"/>
          <w:lang w:val="en-US" w:eastAsia="zh-CN" w:bidi="ar"/>
        </w:rPr>
        <w:t>初步核算，全年规模以上工业综合能源消费量172077.82吨标准煤，比上年增长692.9%。其中，柴油消费量增长72.6%，天然气消费量增长4126.9%，电力消费增长57.1%。</w:t>
      </w:r>
    </w:p>
    <w:p>
      <w:pPr>
        <w:pStyle w:val="11"/>
        <w:pageBreakBefore w:val="0"/>
        <w:kinsoku/>
        <w:wordWrap/>
        <w:overflowPunct/>
        <w:topLinePunct w:val="0"/>
        <w:bidi w:val="0"/>
        <w:snapToGrid/>
        <w:spacing w:line="360" w:lineRule="auto"/>
        <w:ind w:left="0" w:leftChars="0" w:right="0" w:rightChars="0" w:firstLine="640" w:firstLineChars="200"/>
        <w:rPr>
          <w:rFonts w:hint="eastAsia" w:ascii="仿宋_GB2312" w:hAnsi="微软雅黑" w:eastAsia="仿宋_GB2312" w:cs="仿宋_GB2312"/>
          <w:b w:val="0"/>
          <w:bCs w:val="0"/>
          <w:i w:val="0"/>
          <w:caps w:val="0"/>
          <w:color w:val="auto"/>
          <w:spacing w:val="0"/>
          <w:kern w:val="0"/>
          <w:sz w:val="32"/>
          <w:szCs w:val="32"/>
          <w:lang w:val="en-US" w:eastAsia="zh-CN" w:bidi="ar"/>
        </w:rPr>
      </w:pPr>
      <w:r>
        <w:rPr>
          <w:rFonts w:hint="eastAsia" w:ascii="仿宋_GB2312" w:hAnsi="微软雅黑" w:eastAsia="仿宋_GB2312" w:cs="仿宋_GB2312"/>
          <w:b w:val="0"/>
          <w:i w:val="0"/>
          <w:caps w:val="0"/>
          <w:color w:val="auto"/>
          <w:spacing w:val="0"/>
          <w:kern w:val="0"/>
          <w:sz w:val="32"/>
          <w:szCs w:val="32"/>
          <w:lang w:val="en-US" w:eastAsia="zh-CN" w:bidi="ar"/>
        </w:rPr>
        <w:t>全市造林绿化面积1.158万亩，森林覆盖率43.0%。</w:t>
      </w:r>
      <w:r>
        <w:rPr>
          <w:rFonts w:hint="eastAsia" w:ascii="仿宋_GB2312" w:hAnsi="微软雅黑" w:eastAsia="仿宋_GB2312" w:cs="仿宋_GB2312"/>
          <w:b w:val="0"/>
          <w:bCs w:val="0"/>
          <w:i w:val="0"/>
          <w:caps w:val="0"/>
          <w:color w:val="auto"/>
          <w:spacing w:val="0"/>
          <w:kern w:val="0"/>
          <w:sz w:val="32"/>
          <w:szCs w:val="32"/>
          <w:lang w:val="en-US" w:eastAsia="zh-CN" w:bidi="ar"/>
        </w:rPr>
        <w:t>城市建成区绿化覆盖率42.4%。自然保护区4个，其中国家级1个，省级2个，市级1个；自然保护区面积14552.4公顷，其中国家级4400公顷，省级9414.6公顷，市级737.8公顷。列入国家一级重点保护野生动物有1种，列入国家二级重点保护野生动物有5种。</w:t>
      </w:r>
    </w:p>
    <w:p>
      <w:pPr>
        <w:pStyle w:val="11"/>
        <w:pageBreakBefore w:val="0"/>
        <w:kinsoku/>
        <w:wordWrap/>
        <w:overflowPunct/>
        <w:topLinePunct w:val="0"/>
        <w:bidi w:val="0"/>
        <w:snapToGrid/>
        <w:spacing w:line="360" w:lineRule="auto"/>
        <w:ind w:left="0" w:leftChars="0" w:right="0" w:rightChars="0" w:firstLine="640" w:firstLineChars="200"/>
        <w:rPr>
          <w:rFonts w:hint="eastAsia" w:ascii="仿宋_GB2312" w:hAnsi="微软雅黑" w:eastAsia="仿宋_GB2312" w:cs="仿宋_GB2312"/>
          <w:b w:val="0"/>
          <w:bCs w:val="0"/>
          <w:i w:val="0"/>
          <w:caps w:val="0"/>
          <w:color w:val="auto"/>
          <w:spacing w:val="0"/>
          <w:kern w:val="0"/>
          <w:sz w:val="32"/>
          <w:szCs w:val="32"/>
          <w:lang w:val="en-US" w:eastAsia="zh-CN" w:bidi="ar"/>
        </w:rPr>
      </w:pPr>
      <w:r>
        <w:rPr>
          <w:rFonts w:hint="eastAsia" w:ascii="仿宋_GB2312" w:hAnsi="微软雅黑" w:eastAsia="仿宋_GB2312" w:cs="仿宋_GB2312"/>
          <w:b w:val="0"/>
          <w:bCs w:val="0"/>
          <w:i w:val="0"/>
          <w:caps w:val="0"/>
          <w:color w:val="auto"/>
          <w:spacing w:val="0"/>
          <w:kern w:val="0"/>
          <w:sz w:val="32"/>
          <w:szCs w:val="32"/>
          <w:lang w:val="en-US" w:eastAsia="zh-CN" w:bidi="ar"/>
        </w:rPr>
        <w:t>年末全市拥有国家三级环境监测站1个，环境监测人员10人。全年城市环境空气质量优良率99.7%，其中城市（镇）PM2.5年均浓度为12微克/立方米，比上年下降20%；PM10年均浓度为26微克/立方米，比上年下降10.3%。城市（镇）水源地水质达标率保持100.0%。</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Autospacing="0" w:line="360" w:lineRule="auto"/>
        <w:ind w:left="0" w:leftChars="0" w:right="0" w:rightChars="0" w:firstLine="640"/>
        <w:jc w:val="both"/>
        <w:rPr>
          <w:rFonts w:hint="eastAsia"/>
          <w:lang w:val="en-US" w:eastAsia="zh-CN"/>
        </w:rPr>
      </w:pPr>
      <w:r>
        <w:rPr>
          <w:rFonts w:hint="default" w:ascii="仿宋_GB2312" w:hAnsi="微软雅黑" w:eastAsia="仿宋_GB2312" w:cs="仿宋_GB2312"/>
          <w:b w:val="0"/>
          <w:i w:val="0"/>
          <w:caps w:val="0"/>
          <w:color w:val="000000"/>
          <w:spacing w:val="0"/>
          <w:kern w:val="0"/>
          <w:sz w:val="32"/>
          <w:szCs w:val="32"/>
          <w:lang w:val="en-US" w:eastAsia="zh-CN" w:bidi="ar"/>
        </w:rPr>
        <w:t>年末文城污水处理厂总处理水量1099.11万吨，日均处理水量为3.01万吨，平均负荷为100%；年末清澜污水处理厂总处理水量620.44万吨，日均处理水量1.70万吨，日均污水处理负荷率85%。2020年，文城及清澜地区已建成污水管网186.55公里，管网覆盖率97.15%，</w:t>
      </w:r>
      <w:r>
        <w:rPr>
          <w:rFonts w:hint="eastAsia" w:ascii="仿宋_GB2312" w:hAnsi="微软雅黑" w:eastAsia="仿宋_GB2312" w:cs="仿宋_GB2312"/>
          <w:b w:val="0"/>
          <w:i w:val="0"/>
          <w:caps w:val="0"/>
          <w:color w:val="000000"/>
          <w:spacing w:val="0"/>
          <w:kern w:val="0"/>
          <w:sz w:val="32"/>
          <w:szCs w:val="32"/>
          <w:lang w:val="en-US" w:eastAsia="zh-CN" w:bidi="ar"/>
        </w:rPr>
        <w:t>比上年</w:t>
      </w:r>
      <w:r>
        <w:rPr>
          <w:rFonts w:hint="default" w:ascii="仿宋_GB2312" w:hAnsi="微软雅黑" w:eastAsia="仿宋_GB2312" w:cs="仿宋_GB2312"/>
          <w:b w:val="0"/>
          <w:i w:val="0"/>
          <w:caps w:val="0"/>
          <w:color w:val="000000"/>
          <w:spacing w:val="0"/>
          <w:kern w:val="0"/>
          <w:sz w:val="32"/>
          <w:szCs w:val="32"/>
          <w:lang w:val="en-US" w:eastAsia="zh-CN" w:bidi="ar"/>
        </w:rPr>
        <w:t>增长12%；2020年城镇污水处理率95%，</w:t>
      </w:r>
      <w:r>
        <w:rPr>
          <w:rFonts w:hint="eastAsia" w:ascii="仿宋_GB2312" w:hAnsi="微软雅黑" w:eastAsia="仿宋_GB2312" w:cs="仿宋_GB2312"/>
          <w:b w:val="0"/>
          <w:i w:val="0"/>
          <w:caps w:val="0"/>
          <w:color w:val="000000"/>
          <w:spacing w:val="0"/>
          <w:kern w:val="0"/>
          <w:sz w:val="32"/>
          <w:szCs w:val="32"/>
          <w:lang w:val="en-US" w:eastAsia="zh-CN" w:bidi="ar"/>
        </w:rPr>
        <w:t>比上年</w:t>
      </w:r>
      <w:r>
        <w:rPr>
          <w:rFonts w:hint="default" w:ascii="仿宋_GB2312" w:hAnsi="微软雅黑" w:eastAsia="仿宋_GB2312" w:cs="仿宋_GB2312"/>
          <w:b w:val="0"/>
          <w:i w:val="0"/>
          <w:caps w:val="0"/>
          <w:color w:val="000000"/>
          <w:spacing w:val="0"/>
          <w:kern w:val="0"/>
          <w:sz w:val="32"/>
          <w:szCs w:val="32"/>
          <w:lang w:val="en-US" w:eastAsia="zh-CN" w:bidi="ar"/>
        </w:rPr>
        <w:t>持平。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both"/>
        <w:textAlignment w:val="auto"/>
        <w:outlineLvl w:val="9"/>
        <w:rPr>
          <w:rFonts w:hint="default"/>
          <w:lang w:val="en-US" w:eastAsia="zh-CN"/>
        </w:rPr>
      </w:pPr>
      <w:r>
        <w:rPr>
          <w:rFonts w:hint="eastAsia" w:ascii="仿宋_GB2312" w:hAnsi="仿宋_GB2312" w:eastAsia="仿宋_GB2312" w:cs="仿宋_GB2312"/>
          <w:sz w:val="32"/>
          <w:szCs w:val="32"/>
          <w:lang w:val="en-US" w:eastAsia="zh-CN"/>
        </w:rPr>
        <w:t>全市现已建成垃圾终端处理设施2座（皆为生活垃圾焚烧发电厂），生活垃圾无害化处理能力达825吨/天。2020年，全市生活垃圾日产量约为613吨/天，全部运往文昌市生活垃圾焚烧发电厂（一期）及青山岭生活垃圾暂存库进行无害化处置（其中：青山岭生活垃圾暂存库已于2020年12月覆膜封场，库内垃圾将逐步进入生活垃圾焚烧发电厂（二期）项目焚烧处理），城乡生活垃圾收运率及无害化处理率皆达100%。</w:t>
      </w:r>
    </w:p>
    <w:p>
      <w:pPr>
        <w:pageBreakBefore w:val="0"/>
        <w:kinsoku/>
        <w:wordWrap/>
        <w:overflowPunct/>
        <w:topLinePunct w:val="0"/>
        <w:bidi w:val="0"/>
        <w:snapToGrid/>
        <w:spacing w:line="360" w:lineRule="auto"/>
        <w:ind w:left="0" w:leftChars="0" w:right="0" w:rightChars="0" w:firstLine="640"/>
        <w:rPr>
          <w:rFonts w:hint="eastAsia" w:ascii="仿宋_GB2312" w:hAnsi="新宋体" w:eastAsia="仿宋_GB2312"/>
          <w:sz w:val="32"/>
          <w:szCs w:val="32"/>
          <w:lang w:val="en-US" w:eastAsia="zh-CN"/>
        </w:rPr>
      </w:pPr>
      <w:r>
        <w:rPr>
          <w:rFonts w:hint="eastAsia" w:ascii="仿宋_GB2312" w:hAnsi="新宋体" w:eastAsia="仿宋_GB2312"/>
          <w:sz w:val="32"/>
          <w:szCs w:val="32"/>
          <w:lang w:eastAsia="zh-CN"/>
        </w:rPr>
        <w:t>全年未发生较大及以上事故。各类生产经营性事故</w:t>
      </w:r>
      <w:r>
        <w:rPr>
          <w:rFonts w:hint="eastAsia" w:ascii="仿宋_GB2312" w:hAnsi="新宋体" w:eastAsia="仿宋_GB2312"/>
          <w:sz w:val="32"/>
          <w:szCs w:val="32"/>
          <w:lang w:val="en-US" w:eastAsia="zh-CN"/>
        </w:rPr>
        <w:t>3起，死亡3人，比上年分别</w:t>
      </w:r>
      <w:r>
        <w:rPr>
          <w:rFonts w:hint="eastAsia" w:ascii="仿宋_GB2312" w:hAnsi="新宋体" w:eastAsia="仿宋_GB2312"/>
          <w:sz w:val="32"/>
          <w:szCs w:val="32"/>
          <w:lang w:eastAsia="zh-CN"/>
        </w:rPr>
        <w:t>下降66.</w:t>
      </w:r>
      <w:r>
        <w:rPr>
          <w:rFonts w:hint="eastAsia" w:ascii="仿宋_GB2312" w:hAnsi="新宋体" w:eastAsia="仿宋_GB2312"/>
          <w:sz w:val="32"/>
          <w:szCs w:val="32"/>
          <w:lang w:val="en-US" w:eastAsia="zh-CN"/>
        </w:rPr>
        <w:t>7</w:t>
      </w:r>
      <w:r>
        <w:rPr>
          <w:rFonts w:hint="eastAsia" w:ascii="仿宋_GB2312" w:hAnsi="新宋体" w:eastAsia="仿宋_GB2312"/>
          <w:sz w:val="32"/>
          <w:szCs w:val="32"/>
          <w:lang w:eastAsia="zh-CN"/>
        </w:rPr>
        <w:t>%、25</w:t>
      </w:r>
      <w:r>
        <w:rPr>
          <w:rFonts w:hint="eastAsia" w:ascii="仿宋_GB2312" w:hAnsi="新宋体" w:eastAsia="仿宋_GB2312"/>
          <w:sz w:val="32"/>
          <w:szCs w:val="32"/>
          <w:lang w:val="en-US" w:eastAsia="zh-CN"/>
        </w:rPr>
        <w:t>.0</w:t>
      </w:r>
      <w:r>
        <w:rPr>
          <w:rFonts w:hint="eastAsia" w:ascii="仿宋_GB2312" w:hAnsi="新宋体" w:eastAsia="仿宋_GB2312"/>
          <w:sz w:val="32"/>
          <w:szCs w:val="32"/>
          <w:lang w:eastAsia="zh-CN"/>
        </w:rPr>
        <w:t>%；造成直接经济损失193.1万元，下降42.</w:t>
      </w:r>
      <w:r>
        <w:rPr>
          <w:rFonts w:hint="eastAsia" w:ascii="仿宋_GB2312" w:hAnsi="新宋体" w:eastAsia="仿宋_GB2312"/>
          <w:sz w:val="32"/>
          <w:szCs w:val="32"/>
          <w:lang w:val="en-US" w:eastAsia="zh-CN"/>
        </w:rPr>
        <w:t>1</w:t>
      </w:r>
      <w:r>
        <w:rPr>
          <w:rFonts w:hint="eastAsia" w:ascii="仿宋_GB2312" w:hAnsi="新宋体" w:eastAsia="仿宋_GB2312"/>
          <w:sz w:val="32"/>
          <w:szCs w:val="32"/>
          <w:lang w:eastAsia="zh-CN"/>
        </w:rPr>
        <w:t>%。其中，生产经营性道路交通事故1起，下降83.3%；死亡1人，比上年持平；直接经济损失0.1万元，下降64.</w:t>
      </w:r>
      <w:r>
        <w:rPr>
          <w:rFonts w:hint="eastAsia" w:ascii="仿宋_GB2312" w:hAnsi="新宋体" w:eastAsia="仿宋_GB2312"/>
          <w:sz w:val="32"/>
          <w:szCs w:val="32"/>
          <w:lang w:val="en-US" w:eastAsia="zh-CN"/>
        </w:rPr>
        <w:t>3</w:t>
      </w:r>
      <w:r>
        <w:rPr>
          <w:rFonts w:hint="eastAsia" w:ascii="仿宋_GB2312" w:hAnsi="新宋体" w:eastAsia="仿宋_GB2312"/>
          <w:sz w:val="32"/>
          <w:szCs w:val="32"/>
          <w:lang w:eastAsia="zh-CN"/>
        </w:rPr>
        <w:t>%</w:t>
      </w:r>
      <w:r>
        <w:rPr>
          <w:rFonts w:hint="eastAsia" w:ascii="仿宋_GB2312" w:hAnsi="新宋体" w:eastAsia="仿宋_GB2312"/>
          <w:sz w:val="32"/>
          <w:szCs w:val="32"/>
          <w:lang w:val="en-US" w:eastAsia="zh-CN"/>
        </w:rPr>
        <w:t>。工矿商贸行业发生事故2起，</w:t>
      </w:r>
      <w:r>
        <w:rPr>
          <w:rFonts w:hint="eastAsia" w:ascii="仿宋_GB2312" w:hAnsi="新宋体" w:eastAsia="仿宋_GB2312"/>
          <w:sz w:val="32"/>
          <w:szCs w:val="32"/>
          <w:lang w:eastAsia="zh-CN"/>
        </w:rPr>
        <w:t>下降33.3%</w:t>
      </w:r>
      <w:r>
        <w:rPr>
          <w:rFonts w:hint="eastAsia" w:ascii="仿宋_GB2312" w:hAnsi="新宋体" w:eastAsia="仿宋_GB2312"/>
          <w:sz w:val="32"/>
          <w:szCs w:val="32"/>
          <w:lang w:val="en-US" w:eastAsia="zh-CN"/>
        </w:rPr>
        <w:t>；死亡2人，</w:t>
      </w:r>
      <w:r>
        <w:rPr>
          <w:rFonts w:hint="eastAsia" w:ascii="仿宋_GB2312" w:hAnsi="新宋体" w:eastAsia="仿宋_GB2312"/>
          <w:sz w:val="32"/>
          <w:szCs w:val="32"/>
          <w:lang w:eastAsia="zh-CN"/>
        </w:rPr>
        <w:t>下降33.3%</w:t>
      </w:r>
      <w:r>
        <w:rPr>
          <w:rFonts w:hint="eastAsia" w:ascii="仿宋_GB2312" w:hAnsi="新宋体" w:eastAsia="仿宋_GB2312"/>
          <w:sz w:val="32"/>
          <w:szCs w:val="32"/>
          <w:lang w:val="en-US" w:eastAsia="zh-CN"/>
        </w:rPr>
        <w:t>；</w:t>
      </w:r>
      <w:r>
        <w:rPr>
          <w:rFonts w:hint="eastAsia" w:ascii="仿宋_GB2312" w:hAnsi="新宋体" w:eastAsia="仿宋_GB2312"/>
          <w:sz w:val="32"/>
          <w:szCs w:val="32"/>
          <w:lang w:eastAsia="zh-CN"/>
        </w:rPr>
        <w:t>经济损失193万元</w:t>
      </w:r>
      <w:r>
        <w:rPr>
          <w:rFonts w:hint="eastAsia" w:ascii="仿宋_GB2312" w:hAnsi="新宋体" w:eastAsia="仿宋_GB2312"/>
          <w:sz w:val="32"/>
          <w:szCs w:val="32"/>
          <w:lang w:val="en-US" w:eastAsia="zh-CN"/>
        </w:rPr>
        <w:t>，</w:t>
      </w:r>
      <w:r>
        <w:rPr>
          <w:rFonts w:hint="eastAsia" w:ascii="仿宋_GB2312" w:hAnsi="新宋体" w:eastAsia="仿宋_GB2312"/>
          <w:sz w:val="32"/>
          <w:szCs w:val="32"/>
          <w:lang w:eastAsia="zh-CN"/>
        </w:rPr>
        <w:t>下降42.0%</w:t>
      </w:r>
      <w:r>
        <w:rPr>
          <w:rFonts w:hint="eastAsia" w:ascii="仿宋_GB2312" w:hAnsi="新宋体" w:eastAsia="仿宋_GB2312"/>
          <w:sz w:val="32"/>
          <w:szCs w:val="32"/>
          <w:lang w:val="en-US" w:eastAsia="zh-CN"/>
        </w:rPr>
        <w:t>。</w:t>
      </w:r>
    </w:p>
    <w:p>
      <w:pPr>
        <w:pStyle w:val="2"/>
        <w:rPr>
          <w:rFonts w:hint="eastAsia" w:ascii="仿宋_GB2312" w:hAnsi="新宋体" w:eastAsia="仿宋_GB2312"/>
          <w:sz w:val="32"/>
          <w:szCs w:val="32"/>
          <w:lang w:val="en-US" w:eastAsia="zh-CN"/>
        </w:rPr>
      </w:pPr>
    </w:p>
    <w:p>
      <w:pPr>
        <w:pStyle w:val="2"/>
        <w:rPr>
          <w:rFonts w:hint="eastAsia" w:ascii="仿宋_GB2312" w:hAnsi="新宋体" w:eastAsia="仿宋_GB2312"/>
          <w:sz w:val="32"/>
          <w:szCs w:val="32"/>
          <w:lang w:val="en-US" w:eastAsia="zh-CN"/>
        </w:rPr>
      </w:pPr>
    </w:p>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both"/>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both"/>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rFonts w:hint="eastAsia" w:ascii="黑体" w:hAnsi="宋体" w:eastAsia="黑体" w:cs="黑体"/>
          <w:b w:val="0"/>
          <w:i w:val="0"/>
          <w:caps w:val="0"/>
          <w:color w:val="000000"/>
          <w:spacing w:val="0"/>
          <w:kern w:val="0"/>
          <w:sz w:val="36"/>
          <w:szCs w:val="36"/>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sz w:val="21"/>
          <w:szCs w:val="21"/>
        </w:rPr>
      </w:pPr>
      <w:r>
        <w:rPr>
          <w:rFonts w:hint="eastAsia" w:ascii="黑体" w:hAnsi="宋体" w:eastAsia="黑体" w:cs="黑体"/>
          <w:b w:val="0"/>
          <w:i w:val="0"/>
          <w:caps w:val="0"/>
          <w:color w:val="000000"/>
          <w:spacing w:val="0"/>
          <w:kern w:val="0"/>
          <w:sz w:val="36"/>
          <w:szCs w:val="36"/>
          <w:lang w:val="en-US" w:eastAsia="zh-CN" w:bidi="ar"/>
        </w:rPr>
        <w:t>注  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firstLine="560"/>
        <w:jc w:val="both"/>
        <w:rPr>
          <w:rFonts w:hint="default" w:ascii="Times New Roman" w:hAnsi="Times New Roman" w:eastAsia="微软雅黑" w:cs="Times New Roman"/>
          <w:b w:val="0"/>
          <w:i w:val="0"/>
          <w:caps w:val="0"/>
          <w:color w:val="000000"/>
          <w:spacing w:val="0"/>
          <w:kern w:val="0"/>
          <w:sz w:val="28"/>
          <w:szCs w:val="28"/>
          <w:lang w:val="en-US" w:eastAsia="zh-CN" w:bidi="ar"/>
        </w:rPr>
      </w:pPr>
      <w:r>
        <w:rPr>
          <w:rFonts w:hint="default" w:ascii="Times New Roman" w:hAnsi="Times New Roman" w:eastAsia="微软雅黑" w:cs="Times New Roman"/>
          <w:b w:val="0"/>
          <w:i w:val="0"/>
          <w:caps w:val="0"/>
          <w:color w:val="000000"/>
          <w:spacing w:val="0"/>
          <w:kern w:val="0"/>
          <w:sz w:val="28"/>
          <w:szCs w:val="28"/>
          <w:lang w:val="en-US" w:eastAsia="zh-CN" w:bidi="ar"/>
        </w:rPr>
        <w:t>1.本公报部分数据为初步统计数，部分数据为预计数，最终核实数以《</w:t>
      </w:r>
      <w:r>
        <w:rPr>
          <w:rFonts w:hint="eastAsia" w:ascii="Times New Roman" w:hAnsi="Times New Roman" w:eastAsia="微软雅黑" w:cs="Times New Roman"/>
          <w:b w:val="0"/>
          <w:i w:val="0"/>
          <w:caps w:val="0"/>
          <w:color w:val="000000"/>
          <w:spacing w:val="0"/>
          <w:kern w:val="0"/>
          <w:sz w:val="28"/>
          <w:szCs w:val="28"/>
          <w:lang w:val="en-US" w:eastAsia="zh-CN" w:bidi="ar"/>
        </w:rPr>
        <w:t>文昌</w:t>
      </w:r>
      <w:r>
        <w:rPr>
          <w:rFonts w:hint="default" w:ascii="Times New Roman" w:hAnsi="Times New Roman" w:eastAsia="微软雅黑" w:cs="Times New Roman"/>
          <w:b w:val="0"/>
          <w:i w:val="0"/>
          <w:caps w:val="0"/>
          <w:color w:val="000000"/>
          <w:spacing w:val="0"/>
          <w:kern w:val="0"/>
          <w:sz w:val="28"/>
          <w:szCs w:val="28"/>
          <w:lang w:val="en-US" w:eastAsia="zh-CN" w:bidi="ar"/>
        </w:rPr>
        <w:t>统计年鉴—202</w:t>
      </w:r>
      <w:r>
        <w:rPr>
          <w:rFonts w:hint="eastAsia" w:ascii="Times New Roman" w:hAnsi="Times New Roman" w:eastAsia="微软雅黑" w:cs="Times New Roman"/>
          <w:b w:val="0"/>
          <w:i w:val="0"/>
          <w:caps w:val="0"/>
          <w:color w:val="000000"/>
          <w:spacing w:val="0"/>
          <w:kern w:val="0"/>
          <w:sz w:val="28"/>
          <w:szCs w:val="28"/>
          <w:lang w:val="en-US" w:eastAsia="zh-CN" w:bidi="ar"/>
        </w:rPr>
        <w:t>1》公布的数据为准。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firstLine="560"/>
        <w:jc w:val="both"/>
        <w:rPr>
          <w:sz w:val="21"/>
          <w:szCs w:val="21"/>
        </w:rPr>
      </w:pPr>
      <w:r>
        <w:rPr>
          <w:rFonts w:hint="default" w:ascii="Times New Roman" w:hAnsi="Times New Roman" w:eastAsia="微软雅黑" w:cs="Times New Roman"/>
          <w:b w:val="0"/>
          <w:i w:val="0"/>
          <w:caps w:val="0"/>
          <w:color w:val="000000"/>
          <w:spacing w:val="0"/>
          <w:kern w:val="0"/>
          <w:sz w:val="28"/>
          <w:szCs w:val="28"/>
          <w:lang w:val="en-US" w:eastAsia="zh-CN" w:bidi="ar"/>
        </w:rPr>
        <w:t>2.地区生产总值和各产业增加值绝对数按现行价格计算，增长速度按可比价格计算。根据《国民经济行业分类》（GB/T4754-2017</w:t>
      </w:r>
      <w:r>
        <w:rPr>
          <w:rFonts w:hint="eastAsia" w:ascii="仿宋_GB2312" w:hAnsi="微软雅黑" w:eastAsia="仿宋_GB2312" w:cs="仿宋_GB2312"/>
          <w:b w:val="0"/>
          <w:i w:val="0"/>
          <w:caps w:val="0"/>
          <w:color w:val="000000"/>
          <w:spacing w:val="0"/>
          <w:kern w:val="0"/>
          <w:sz w:val="28"/>
          <w:szCs w:val="28"/>
          <w:lang w:val="en-US" w:eastAsia="zh-CN" w:bidi="ar"/>
        </w:rPr>
        <w:t>）</w:t>
      </w:r>
      <w:r>
        <w:rPr>
          <w:rFonts w:hint="eastAsia" w:ascii="Times New Roman" w:hAnsi="Times New Roman" w:eastAsia="微软雅黑" w:cs="Times New Roman"/>
          <w:b w:val="0"/>
          <w:i w:val="0"/>
          <w:caps w:val="0"/>
          <w:color w:val="000000"/>
          <w:spacing w:val="0"/>
          <w:kern w:val="0"/>
          <w:sz w:val="28"/>
          <w:szCs w:val="28"/>
          <w:lang w:val="en-US" w:eastAsia="zh-CN" w:bidi="ar"/>
        </w:rPr>
        <w:t>对三次产业进行划分。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firstLine="560"/>
        <w:jc w:val="both"/>
        <w:rPr>
          <w:rFonts w:hint="default" w:ascii="Times New Roman" w:hAnsi="Times New Roman" w:eastAsia="微软雅黑" w:cs="Times New Roman"/>
          <w:b w:val="0"/>
          <w:i w:val="0"/>
          <w:caps w:val="0"/>
          <w:color w:val="000000"/>
          <w:spacing w:val="0"/>
          <w:kern w:val="0"/>
          <w:sz w:val="28"/>
          <w:szCs w:val="28"/>
          <w:lang w:val="en-US" w:eastAsia="zh-CN" w:bidi="ar"/>
        </w:rPr>
      </w:pPr>
      <w:r>
        <w:rPr>
          <w:rFonts w:hint="eastAsia" w:ascii="Times New Roman" w:hAnsi="Times New Roman" w:eastAsia="微软雅黑" w:cs="Times New Roman"/>
          <w:b w:val="0"/>
          <w:i w:val="0"/>
          <w:caps w:val="0"/>
          <w:color w:val="000000"/>
          <w:spacing w:val="0"/>
          <w:kern w:val="0"/>
          <w:sz w:val="28"/>
          <w:szCs w:val="28"/>
          <w:lang w:val="en-US" w:eastAsia="zh-CN" w:bidi="ar"/>
        </w:rPr>
        <w:t>3</w:t>
      </w:r>
      <w:r>
        <w:rPr>
          <w:rFonts w:hint="default" w:ascii="Times New Roman" w:hAnsi="Times New Roman" w:eastAsia="微软雅黑" w:cs="Times New Roman"/>
          <w:b w:val="0"/>
          <w:i w:val="0"/>
          <w:caps w:val="0"/>
          <w:color w:val="000000"/>
          <w:spacing w:val="0"/>
          <w:kern w:val="0"/>
          <w:sz w:val="28"/>
          <w:szCs w:val="28"/>
          <w:lang w:val="en-US" w:eastAsia="zh-CN" w:bidi="ar"/>
        </w:rPr>
        <w:t>.本公报中部分指标合计数与分项数有出入主要是由于四舍五入的原因，均未作机械调整。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firstLine="560"/>
        <w:jc w:val="both"/>
        <w:rPr>
          <w:rFonts w:hint="default" w:ascii="Times New Roman" w:hAnsi="Times New Roman" w:eastAsia="微软雅黑" w:cs="Times New Roman"/>
          <w:b w:val="0"/>
          <w:i w:val="0"/>
          <w:caps w:val="0"/>
          <w:color w:val="000000"/>
          <w:spacing w:val="0"/>
          <w:kern w:val="0"/>
          <w:sz w:val="28"/>
          <w:szCs w:val="28"/>
          <w:lang w:val="en-US" w:eastAsia="zh-CN" w:bidi="ar"/>
        </w:rPr>
      </w:pPr>
      <w:r>
        <w:rPr>
          <w:rFonts w:hint="eastAsia" w:ascii="Times New Roman" w:hAnsi="Times New Roman" w:eastAsia="微软雅黑" w:cs="Times New Roman"/>
          <w:b w:val="0"/>
          <w:i w:val="0"/>
          <w:caps w:val="0"/>
          <w:color w:val="000000"/>
          <w:spacing w:val="0"/>
          <w:kern w:val="0"/>
          <w:sz w:val="28"/>
          <w:szCs w:val="28"/>
          <w:lang w:val="en-US" w:eastAsia="zh-CN" w:bidi="ar"/>
        </w:rPr>
        <w:t>4.人均地区生产总值指标采用年平均常住人口进行计算。</w:t>
      </w:r>
    </w:p>
    <w:p>
      <w:pPr>
        <w:pStyle w:val="2"/>
        <w:pageBreakBefore w:val="0"/>
        <w:kinsoku/>
        <w:wordWrap/>
        <w:overflowPunct/>
        <w:topLinePunct w:val="0"/>
        <w:bidi w:val="0"/>
        <w:snapToGrid/>
        <w:spacing w:line="600" w:lineRule="exact"/>
        <w:rPr>
          <w:rFonts w:hint="eastAsia"/>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jc w:val="center"/>
        <w:rPr>
          <w:sz w:val="21"/>
          <w:szCs w:val="21"/>
        </w:rPr>
      </w:pPr>
      <w:r>
        <w:rPr>
          <w:rFonts w:hint="eastAsia" w:ascii="黑体" w:hAnsi="宋体" w:eastAsia="黑体" w:cs="黑体"/>
          <w:b w:val="0"/>
          <w:i w:val="0"/>
          <w:caps w:val="0"/>
          <w:color w:val="000000"/>
          <w:spacing w:val="0"/>
          <w:kern w:val="0"/>
          <w:sz w:val="36"/>
          <w:szCs w:val="36"/>
          <w:lang w:val="en-US" w:eastAsia="zh-CN" w:bidi="ar"/>
        </w:rPr>
        <w:t>资料来源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600" w:lineRule="exact"/>
        <w:ind w:left="0" w:right="0" w:firstLine="560"/>
        <w:jc w:val="both"/>
      </w:pPr>
      <w:r>
        <w:rPr>
          <w:rFonts w:hint="eastAsia" w:ascii="仿宋_GB2312" w:hAnsi="微软雅黑" w:eastAsia="仿宋_GB2312" w:cs="仿宋_GB2312"/>
          <w:b w:val="0"/>
          <w:i w:val="0"/>
          <w:caps w:val="0"/>
          <w:color w:val="000000"/>
          <w:spacing w:val="0"/>
          <w:kern w:val="0"/>
          <w:sz w:val="28"/>
          <w:szCs w:val="28"/>
          <w:lang w:val="en-US" w:eastAsia="zh-CN" w:bidi="ar"/>
        </w:rPr>
        <w:t>本公报中财政数据来自市财政局，金融机构存贷款数据、证券保险交易额来自人行文昌支行，价格、居民收支数据来自国家统计局文昌调查队，森林、野生动植物、自然保护区数据来自市林业局，货物运输及周转量数据来自市交通局，重点项目</w:t>
      </w:r>
      <w:r>
        <w:rPr>
          <w:rFonts w:hint="eastAsia" w:ascii="仿宋_GB2312" w:hAnsi="微软雅黑" w:eastAsia="仿宋_GB2312" w:cs="仿宋_GB2312"/>
          <w:b w:val="0"/>
          <w:i w:val="0"/>
          <w:caps w:val="0"/>
          <w:color w:val="333333"/>
          <w:spacing w:val="0"/>
          <w:kern w:val="0"/>
          <w:sz w:val="28"/>
          <w:szCs w:val="28"/>
          <w:lang w:val="en-US" w:eastAsia="zh-CN" w:bidi="ar"/>
        </w:rPr>
        <w:t>来自市发改委</w:t>
      </w:r>
      <w:r>
        <w:rPr>
          <w:rFonts w:hint="eastAsia" w:ascii="仿宋_GB2312" w:hAnsi="微软雅黑" w:eastAsia="仿宋_GB2312" w:cs="仿宋_GB2312"/>
          <w:b w:val="0"/>
          <w:i w:val="0"/>
          <w:caps w:val="0"/>
          <w:color w:val="000000"/>
          <w:spacing w:val="0"/>
          <w:kern w:val="0"/>
          <w:sz w:val="28"/>
          <w:szCs w:val="28"/>
          <w:lang w:val="en-US" w:eastAsia="zh-CN" w:bidi="ar"/>
        </w:rPr>
        <w:t>，星级宾馆酒店、</w:t>
      </w:r>
      <w:r>
        <w:rPr>
          <w:rFonts w:hint="eastAsia" w:ascii="仿宋_GB2312" w:hAnsi="微软雅黑" w:eastAsia="仿宋_GB2312" w:cs="仿宋_GB2312"/>
          <w:b w:val="0"/>
          <w:i w:val="0"/>
          <w:caps w:val="0"/>
          <w:color w:val="333333"/>
          <w:spacing w:val="0"/>
          <w:kern w:val="0"/>
          <w:sz w:val="28"/>
          <w:szCs w:val="28"/>
          <w:lang w:val="en-US" w:eastAsia="zh-CN" w:bidi="ar"/>
        </w:rPr>
        <w:t>文化体育等</w:t>
      </w:r>
      <w:r>
        <w:rPr>
          <w:rFonts w:hint="eastAsia" w:ascii="仿宋_GB2312" w:hAnsi="微软雅黑" w:eastAsia="仿宋_GB2312" w:cs="仿宋_GB2312"/>
          <w:b w:val="0"/>
          <w:i w:val="0"/>
          <w:caps w:val="0"/>
          <w:color w:val="000000"/>
          <w:spacing w:val="0"/>
          <w:kern w:val="0"/>
          <w:sz w:val="28"/>
          <w:szCs w:val="28"/>
          <w:lang w:val="en-US" w:eastAsia="zh-CN" w:bidi="ar"/>
        </w:rPr>
        <w:t>数据来自市旅文局，对外经济、进出口数据来自市商务局，保障性住房数据来自市住建局，城镇垃圾处理数据来自市环卫局，城镇污水处理数据来自市水务局，教育数据来自市教育局，卫生数据来自市卫健委，社会救助数据来自市民政局，就业数据来自市人社局，农村扶贫数据来自市扶贫办，科技数据来自市科学技术工业信息化局，环境保护数据来自市生态环境局，安全生产数据来自市应急局，其他数据来自市统计局。</w:t>
      </w:r>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roman"/>
    <w:pitch w:val="default"/>
    <w:sig w:usb0="0000028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A3946E"/>
    <w:multiLevelType w:val="singleLevel"/>
    <w:tmpl w:val="92A3946E"/>
    <w:lvl w:ilvl="0" w:tentative="0">
      <w:start w:val="7"/>
      <w:numFmt w:val="chineseCounting"/>
      <w:suff w:val="nothing"/>
      <w:lvlText w:val="%1、"/>
      <w:lvlJc w:val="left"/>
      <w:rPr>
        <w:rFonts w:hint="eastAsia"/>
      </w:rPr>
    </w:lvl>
  </w:abstractNum>
  <w:abstractNum w:abstractNumId="1">
    <w:nsid w:val="3718DC08"/>
    <w:multiLevelType w:val="singleLevel"/>
    <w:tmpl w:val="3718DC08"/>
    <w:lvl w:ilvl="0" w:tentative="0">
      <w:start w:val="10"/>
      <w:numFmt w:val="chineseCounting"/>
      <w:suff w:val="nothing"/>
      <w:lvlText w:val="%1、"/>
      <w:lvlJc w:val="left"/>
      <w:rPr>
        <w:rFonts w:hint="eastAsia"/>
      </w:rPr>
    </w:lvl>
  </w:abstractNum>
  <w:abstractNum w:abstractNumId="2">
    <w:nsid w:val="54C77914"/>
    <w:multiLevelType w:val="singleLevel"/>
    <w:tmpl w:val="54C77914"/>
    <w:lvl w:ilvl="0" w:tentative="0">
      <w:start w:val="2"/>
      <w:numFmt w:val="chineseCounting"/>
      <w:suff w:val="nothing"/>
      <w:lvlText w:val="%1、"/>
      <w:lvlJc w:val="left"/>
      <w:rPr>
        <w:rFonts w:hint="eastAsia"/>
      </w:rPr>
    </w:lvl>
  </w:abstractNum>
  <w:abstractNum w:abstractNumId="3">
    <w:nsid w:val="6466467E"/>
    <w:multiLevelType w:val="singleLevel"/>
    <w:tmpl w:val="6466467E"/>
    <w:lvl w:ilvl="0" w:tentative="0">
      <w:start w:val="8"/>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43C83"/>
    <w:rsid w:val="001A22A7"/>
    <w:rsid w:val="00321492"/>
    <w:rsid w:val="006372BB"/>
    <w:rsid w:val="007A64A3"/>
    <w:rsid w:val="00EF2FA2"/>
    <w:rsid w:val="013C4C26"/>
    <w:rsid w:val="014305B4"/>
    <w:rsid w:val="014C2C16"/>
    <w:rsid w:val="01885CC1"/>
    <w:rsid w:val="019D231A"/>
    <w:rsid w:val="01AB6E83"/>
    <w:rsid w:val="01D013FC"/>
    <w:rsid w:val="01D17606"/>
    <w:rsid w:val="022C2452"/>
    <w:rsid w:val="02FD3AE1"/>
    <w:rsid w:val="030E7131"/>
    <w:rsid w:val="031B5B22"/>
    <w:rsid w:val="032565E2"/>
    <w:rsid w:val="032C5979"/>
    <w:rsid w:val="0333165D"/>
    <w:rsid w:val="03342030"/>
    <w:rsid w:val="03386A91"/>
    <w:rsid w:val="037E4935"/>
    <w:rsid w:val="03A367BE"/>
    <w:rsid w:val="04384FF1"/>
    <w:rsid w:val="044C6577"/>
    <w:rsid w:val="045C2590"/>
    <w:rsid w:val="04770300"/>
    <w:rsid w:val="04A13B1B"/>
    <w:rsid w:val="04AB2353"/>
    <w:rsid w:val="04B10A02"/>
    <w:rsid w:val="052A72F9"/>
    <w:rsid w:val="052E0211"/>
    <w:rsid w:val="05497ACD"/>
    <w:rsid w:val="057A2DD1"/>
    <w:rsid w:val="057A4BAA"/>
    <w:rsid w:val="059B2C67"/>
    <w:rsid w:val="05A84392"/>
    <w:rsid w:val="05AB2123"/>
    <w:rsid w:val="05AC04D7"/>
    <w:rsid w:val="05F66631"/>
    <w:rsid w:val="06001B91"/>
    <w:rsid w:val="06017F15"/>
    <w:rsid w:val="065651FC"/>
    <w:rsid w:val="066071DB"/>
    <w:rsid w:val="067C5045"/>
    <w:rsid w:val="06854E95"/>
    <w:rsid w:val="068F0BC8"/>
    <w:rsid w:val="06F82C86"/>
    <w:rsid w:val="075911A7"/>
    <w:rsid w:val="075C756D"/>
    <w:rsid w:val="078D71CB"/>
    <w:rsid w:val="07993464"/>
    <w:rsid w:val="080371C6"/>
    <w:rsid w:val="081A5EB2"/>
    <w:rsid w:val="0824033F"/>
    <w:rsid w:val="08693F84"/>
    <w:rsid w:val="09065FFE"/>
    <w:rsid w:val="090C3BCF"/>
    <w:rsid w:val="0927072A"/>
    <w:rsid w:val="09710C80"/>
    <w:rsid w:val="09820FA3"/>
    <w:rsid w:val="09B40B93"/>
    <w:rsid w:val="0A2F47C1"/>
    <w:rsid w:val="0A4D5ADB"/>
    <w:rsid w:val="0ABA0073"/>
    <w:rsid w:val="0B031BCE"/>
    <w:rsid w:val="0B1125F8"/>
    <w:rsid w:val="0B4B1E08"/>
    <w:rsid w:val="0B90588E"/>
    <w:rsid w:val="0B9A7FDD"/>
    <w:rsid w:val="0BA14D80"/>
    <w:rsid w:val="0BB15603"/>
    <w:rsid w:val="0BCE6114"/>
    <w:rsid w:val="0C4A0F2E"/>
    <w:rsid w:val="0C704568"/>
    <w:rsid w:val="0C77654F"/>
    <w:rsid w:val="0C863EDD"/>
    <w:rsid w:val="0C904A73"/>
    <w:rsid w:val="0C922BB6"/>
    <w:rsid w:val="0DB87BDB"/>
    <w:rsid w:val="0E203C8F"/>
    <w:rsid w:val="0E3201B7"/>
    <w:rsid w:val="0E64595C"/>
    <w:rsid w:val="0E7F5C34"/>
    <w:rsid w:val="0E853735"/>
    <w:rsid w:val="0E8F4A6A"/>
    <w:rsid w:val="0EA2367C"/>
    <w:rsid w:val="0EB16A88"/>
    <w:rsid w:val="0F5536FD"/>
    <w:rsid w:val="0FCA5E35"/>
    <w:rsid w:val="0FD11EA3"/>
    <w:rsid w:val="0FDE1FC0"/>
    <w:rsid w:val="0FFE7262"/>
    <w:rsid w:val="106E13E9"/>
    <w:rsid w:val="106F0F91"/>
    <w:rsid w:val="107E73C4"/>
    <w:rsid w:val="10DE7580"/>
    <w:rsid w:val="10E74610"/>
    <w:rsid w:val="112E76C9"/>
    <w:rsid w:val="116F1DCF"/>
    <w:rsid w:val="117632F5"/>
    <w:rsid w:val="11DC5FB3"/>
    <w:rsid w:val="11F96A2E"/>
    <w:rsid w:val="12C94B36"/>
    <w:rsid w:val="13062E90"/>
    <w:rsid w:val="132B03C4"/>
    <w:rsid w:val="1359220F"/>
    <w:rsid w:val="137A72FB"/>
    <w:rsid w:val="139650C8"/>
    <w:rsid w:val="140A5A6C"/>
    <w:rsid w:val="142F6CBF"/>
    <w:rsid w:val="146255AE"/>
    <w:rsid w:val="14840AB9"/>
    <w:rsid w:val="14B3301F"/>
    <w:rsid w:val="14D52974"/>
    <w:rsid w:val="14E80283"/>
    <w:rsid w:val="151B5186"/>
    <w:rsid w:val="15797C41"/>
    <w:rsid w:val="1659360A"/>
    <w:rsid w:val="16CC529F"/>
    <w:rsid w:val="16EC2AA7"/>
    <w:rsid w:val="16EE7EA9"/>
    <w:rsid w:val="171F5F0D"/>
    <w:rsid w:val="17381757"/>
    <w:rsid w:val="175B78DE"/>
    <w:rsid w:val="17A532C5"/>
    <w:rsid w:val="17B568DB"/>
    <w:rsid w:val="17F2563C"/>
    <w:rsid w:val="18147B7A"/>
    <w:rsid w:val="18F94006"/>
    <w:rsid w:val="1A000A44"/>
    <w:rsid w:val="1AC83EC9"/>
    <w:rsid w:val="1B074C10"/>
    <w:rsid w:val="1B076172"/>
    <w:rsid w:val="1B39164C"/>
    <w:rsid w:val="1B4B3546"/>
    <w:rsid w:val="1B664981"/>
    <w:rsid w:val="1BA12526"/>
    <w:rsid w:val="1BE14529"/>
    <w:rsid w:val="1BEC25C7"/>
    <w:rsid w:val="1BF26FD6"/>
    <w:rsid w:val="1C19023C"/>
    <w:rsid w:val="1C266CAA"/>
    <w:rsid w:val="1C727A36"/>
    <w:rsid w:val="1CA34C0D"/>
    <w:rsid w:val="1CCC4E67"/>
    <w:rsid w:val="1CE10A73"/>
    <w:rsid w:val="1CE228BB"/>
    <w:rsid w:val="1D3E7D18"/>
    <w:rsid w:val="1D426BE3"/>
    <w:rsid w:val="1D543F38"/>
    <w:rsid w:val="1D6222FD"/>
    <w:rsid w:val="1D710AA5"/>
    <w:rsid w:val="1D991377"/>
    <w:rsid w:val="1DBF0428"/>
    <w:rsid w:val="1DC90233"/>
    <w:rsid w:val="1ED3789F"/>
    <w:rsid w:val="1F264411"/>
    <w:rsid w:val="1F661F19"/>
    <w:rsid w:val="1F822430"/>
    <w:rsid w:val="1FAC7402"/>
    <w:rsid w:val="1FAE596A"/>
    <w:rsid w:val="1FC8536A"/>
    <w:rsid w:val="1FEC2B00"/>
    <w:rsid w:val="207D0A4F"/>
    <w:rsid w:val="20E26E41"/>
    <w:rsid w:val="20EC1255"/>
    <w:rsid w:val="20ED3DAF"/>
    <w:rsid w:val="21303F87"/>
    <w:rsid w:val="21381D29"/>
    <w:rsid w:val="21D937E3"/>
    <w:rsid w:val="222439C9"/>
    <w:rsid w:val="2248745D"/>
    <w:rsid w:val="225D33BF"/>
    <w:rsid w:val="228B6AB0"/>
    <w:rsid w:val="22AD0896"/>
    <w:rsid w:val="22CB6A5F"/>
    <w:rsid w:val="233C2DAF"/>
    <w:rsid w:val="2365072A"/>
    <w:rsid w:val="23906AC8"/>
    <w:rsid w:val="23B72816"/>
    <w:rsid w:val="23BE7BB9"/>
    <w:rsid w:val="23D7509C"/>
    <w:rsid w:val="23DE44A3"/>
    <w:rsid w:val="23E52918"/>
    <w:rsid w:val="2461485C"/>
    <w:rsid w:val="24857B78"/>
    <w:rsid w:val="24A02BBC"/>
    <w:rsid w:val="24CA10CA"/>
    <w:rsid w:val="24F932FB"/>
    <w:rsid w:val="25265E89"/>
    <w:rsid w:val="258E73BD"/>
    <w:rsid w:val="259D7FC4"/>
    <w:rsid w:val="25AE7062"/>
    <w:rsid w:val="25CC509D"/>
    <w:rsid w:val="25CD509F"/>
    <w:rsid w:val="261C2C82"/>
    <w:rsid w:val="266C4196"/>
    <w:rsid w:val="268762A7"/>
    <w:rsid w:val="26D7536B"/>
    <w:rsid w:val="272C09BD"/>
    <w:rsid w:val="273637A8"/>
    <w:rsid w:val="2736398C"/>
    <w:rsid w:val="274B4AFC"/>
    <w:rsid w:val="27612BED"/>
    <w:rsid w:val="276C2D5C"/>
    <w:rsid w:val="277B525C"/>
    <w:rsid w:val="27831209"/>
    <w:rsid w:val="278C1E4B"/>
    <w:rsid w:val="279D33CC"/>
    <w:rsid w:val="27DC7ADF"/>
    <w:rsid w:val="27DF509F"/>
    <w:rsid w:val="28476A42"/>
    <w:rsid w:val="28766473"/>
    <w:rsid w:val="288E1F32"/>
    <w:rsid w:val="288F47C4"/>
    <w:rsid w:val="28D514D1"/>
    <w:rsid w:val="28D64D71"/>
    <w:rsid w:val="28DF4C06"/>
    <w:rsid w:val="29C62CEE"/>
    <w:rsid w:val="29F25E8C"/>
    <w:rsid w:val="2A0B2937"/>
    <w:rsid w:val="2A9E424F"/>
    <w:rsid w:val="2AF404CB"/>
    <w:rsid w:val="2B4D5124"/>
    <w:rsid w:val="2B6B1CCB"/>
    <w:rsid w:val="2B6F4E7E"/>
    <w:rsid w:val="2BB0412E"/>
    <w:rsid w:val="2C232387"/>
    <w:rsid w:val="2C5D7835"/>
    <w:rsid w:val="2C7F6AD7"/>
    <w:rsid w:val="2C986666"/>
    <w:rsid w:val="2C9E2B67"/>
    <w:rsid w:val="2CE031D0"/>
    <w:rsid w:val="2CE56585"/>
    <w:rsid w:val="2D627D08"/>
    <w:rsid w:val="2D7E3C33"/>
    <w:rsid w:val="2DB66101"/>
    <w:rsid w:val="2DBB39B2"/>
    <w:rsid w:val="2DD31CDE"/>
    <w:rsid w:val="2DFA44F0"/>
    <w:rsid w:val="2E6B583A"/>
    <w:rsid w:val="2EEA7A5A"/>
    <w:rsid w:val="2F0165DE"/>
    <w:rsid w:val="2F8A3DDA"/>
    <w:rsid w:val="2FA90568"/>
    <w:rsid w:val="2FB563CF"/>
    <w:rsid w:val="2FC809CB"/>
    <w:rsid w:val="2FCC71BE"/>
    <w:rsid w:val="2FD379C1"/>
    <w:rsid w:val="300B646E"/>
    <w:rsid w:val="30357E0D"/>
    <w:rsid w:val="304E10CA"/>
    <w:rsid w:val="30ED3A76"/>
    <w:rsid w:val="30FF67C7"/>
    <w:rsid w:val="31664B5E"/>
    <w:rsid w:val="316D1571"/>
    <w:rsid w:val="320D3589"/>
    <w:rsid w:val="32517D5B"/>
    <w:rsid w:val="326F40A8"/>
    <w:rsid w:val="328E1B05"/>
    <w:rsid w:val="32954344"/>
    <w:rsid w:val="32C516D6"/>
    <w:rsid w:val="32E534C7"/>
    <w:rsid w:val="32FE41E1"/>
    <w:rsid w:val="330058E3"/>
    <w:rsid w:val="33036A12"/>
    <w:rsid w:val="33081B51"/>
    <w:rsid w:val="332C70C2"/>
    <w:rsid w:val="3355212A"/>
    <w:rsid w:val="33B620EB"/>
    <w:rsid w:val="33D00AA5"/>
    <w:rsid w:val="33F3284C"/>
    <w:rsid w:val="33FD5629"/>
    <w:rsid w:val="350D4143"/>
    <w:rsid w:val="35852DC9"/>
    <w:rsid w:val="35A66E08"/>
    <w:rsid w:val="35FB69F9"/>
    <w:rsid w:val="36A035F7"/>
    <w:rsid w:val="37075751"/>
    <w:rsid w:val="378311AA"/>
    <w:rsid w:val="378D7DF7"/>
    <w:rsid w:val="37AF0C97"/>
    <w:rsid w:val="37C01025"/>
    <w:rsid w:val="37F71301"/>
    <w:rsid w:val="38644045"/>
    <w:rsid w:val="38774480"/>
    <w:rsid w:val="38946692"/>
    <w:rsid w:val="38983388"/>
    <w:rsid w:val="392450E2"/>
    <w:rsid w:val="392C7A9F"/>
    <w:rsid w:val="394178AD"/>
    <w:rsid w:val="39730631"/>
    <w:rsid w:val="39C172C4"/>
    <w:rsid w:val="39F625DC"/>
    <w:rsid w:val="3A7D0442"/>
    <w:rsid w:val="3A9A7EE8"/>
    <w:rsid w:val="3AC47A7F"/>
    <w:rsid w:val="3ACC6684"/>
    <w:rsid w:val="3AF72426"/>
    <w:rsid w:val="3B213A3D"/>
    <w:rsid w:val="3B713F5B"/>
    <w:rsid w:val="3B9A2BBB"/>
    <w:rsid w:val="3BB45C61"/>
    <w:rsid w:val="3CBB5E9F"/>
    <w:rsid w:val="3CED5D25"/>
    <w:rsid w:val="3CF77C73"/>
    <w:rsid w:val="3D0528A6"/>
    <w:rsid w:val="3D20260B"/>
    <w:rsid w:val="3D8B7AFC"/>
    <w:rsid w:val="3E062CD3"/>
    <w:rsid w:val="3E1E1520"/>
    <w:rsid w:val="3E6015E1"/>
    <w:rsid w:val="3E885A17"/>
    <w:rsid w:val="3E983199"/>
    <w:rsid w:val="3EA837DD"/>
    <w:rsid w:val="3EC65197"/>
    <w:rsid w:val="3ED046B0"/>
    <w:rsid w:val="3EE54C1C"/>
    <w:rsid w:val="3EF90F90"/>
    <w:rsid w:val="3F6A75C6"/>
    <w:rsid w:val="3F8D2EEC"/>
    <w:rsid w:val="3FB93CCC"/>
    <w:rsid w:val="401805CD"/>
    <w:rsid w:val="406748CF"/>
    <w:rsid w:val="40697F11"/>
    <w:rsid w:val="407B5E6D"/>
    <w:rsid w:val="407C5E9C"/>
    <w:rsid w:val="4081773C"/>
    <w:rsid w:val="40E61F05"/>
    <w:rsid w:val="410718D3"/>
    <w:rsid w:val="413D389F"/>
    <w:rsid w:val="4178028F"/>
    <w:rsid w:val="42591F19"/>
    <w:rsid w:val="425D417A"/>
    <w:rsid w:val="426B029A"/>
    <w:rsid w:val="427C328C"/>
    <w:rsid w:val="42AC4896"/>
    <w:rsid w:val="42AE770C"/>
    <w:rsid w:val="42CE5B00"/>
    <w:rsid w:val="42DC5A43"/>
    <w:rsid w:val="42FA5254"/>
    <w:rsid w:val="43100E0E"/>
    <w:rsid w:val="43134E87"/>
    <w:rsid w:val="43163DFF"/>
    <w:rsid w:val="436447AD"/>
    <w:rsid w:val="43B86501"/>
    <w:rsid w:val="43C237F6"/>
    <w:rsid w:val="43E216D4"/>
    <w:rsid w:val="44547190"/>
    <w:rsid w:val="44765BDE"/>
    <w:rsid w:val="44A45BA3"/>
    <w:rsid w:val="44EF634E"/>
    <w:rsid w:val="44F24580"/>
    <w:rsid w:val="450374EB"/>
    <w:rsid w:val="451E1527"/>
    <w:rsid w:val="45AD7961"/>
    <w:rsid w:val="45C97C4A"/>
    <w:rsid w:val="45E00FE8"/>
    <w:rsid w:val="45FC2A82"/>
    <w:rsid w:val="4619004F"/>
    <w:rsid w:val="46517AB2"/>
    <w:rsid w:val="46590B35"/>
    <w:rsid w:val="465C0F53"/>
    <w:rsid w:val="466928C2"/>
    <w:rsid w:val="467D2538"/>
    <w:rsid w:val="468C2F46"/>
    <w:rsid w:val="46DD4D6A"/>
    <w:rsid w:val="46E2376A"/>
    <w:rsid w:val="473F431B"/>
    <w:rsid w:val="48056C76"/>
    <w:rsid w:val="4836121B"/>
    <w:rsid w:val="48483756"/>
    <w:rsid w:val="48640567"/>
    <w:rsid w:val="48D516A3"/>
    <w:rsid w:val="48FE75D1"/>
    <w:rsid w:val="490B0632"/>
    <w:rsid w:val="49784C6E"/>
    <w:rsid w:val="498F1730"/>
    <w:rsid w:val="49CF713D"/>
    <w:rsid w:val="49E52E8F"/>
    <w:rsid w:val="49EE0EEF"/>
    <w:rsid w:val="4A1B522E"/>
    <w:rsid w:val="4A4F0B66"/>
    <w:rsid w:val="4A727263"/>
    <w:rsid w:val="4A9A47AA"/>
    <w:rsid w:val="4AC24589"/>
    <w:rsid w:val="4AC77B32"/>
    <w:rsid w:val="4ADD668D"/>
    <w:rsid w:val="4AF22444"/>
    <w:rsid w:val="4AFA3D23"/>
    <w:rsid w:val="4B19345F"/>
    <w:rsid w:val="4B932987"/>
    <w:rsid w:val="4BB25360"/>
    <w:rsid w:val="4BB26165"/>
    <w:rsid w:val="4BB475F2"/>
    <w:rsid w:val="4BDA6EA7"/>
    <w:rsid w:val="4BF96B29"/>
    <w:rsid w:val="4C8C6BB5"/>
    <w:rsid w:val="4CA868F3"/>
    <w:rsid w:val="4CB61D4A"/>
    <w:rsid w:val="4D1853B1"/>
    <w:rsid w:val="4D6923CE"/>
    <w:rsid w:val="4D7637C1"/>
    <w:rsid w:val="4DBC79A7"/>
    <w:rsid w:val="4DBE056E"/>
    <w:rsid w:val="4E0B4B65"/>
    <w:rsid w:val="4E600524"/>
    <w:rsid w:val="4E846928"/>
    <w:rsid w:val="4E931DA0"/>
    <w:rsid w:val="4EBE5E6D"/>
    <w:rsid w:val="4EBF2B28"/>
    <w:rsid w:val="4F495D4A"/>
    <w:rsid w:val="4F4B3F3D"/>
    <w:rsid w:val="4F4D78AF"/>
    <w:rsid w:val="4F8F291C"/>
    <w:rsid w:val="4FAB3770"/>
    <w:rsid w:val="4FB66684"/>
    <w:rsid w:val="505C6AC2"/>
    <w:rsid w:val="508054B1"/>
    <w:rsid w:val="508855A6"/>
    <w:rsid w:val="5095758C"/>
    <w:rsid w:val="50E16298"/>
    <w:rsid w:val="50FF30F1"/>
    <w:rsid w:val="51230AC7"/>
    <w:rsid w:val="51EB0D3F"/>
    <w:rsid w:val="52153EE7"/>
    <w:rsid w:val="52661DE7"/>
    <w:rsid w:val="52914AA5"/>
    <w:rsid w:val="52EA223D"/>
    <w:rsid w:val="52FA6C0F"/>
    <w:rsid w:val="53316790"/>
    <w:rsid w:val="535C7AA8"/>
    <w:rsid w:val="53803735"/>
    <w:rsid w:val="539F01B4"/>
    <w:rsid w:val="53B83325"/>
    <w:rsid w:val="540C0F4D"/>
    <w:rsid w:val="5416732C"/>
    <w:rsid w:val="542E061B"/>
    <w:rsid w:val="545B7BC6"/>
    <w:rsid w:val="548B7069"/>
    <w:rsid w:val="54EF4104"/>
    <w:rsid w:val="55204D30"/>
    <w:rsid w:val="555046B9"/>
    <w:rsid w:val="55645D29"/>
    <w:rsid w:val="55806F8A"/>
    <w:rsid w:val="55A24208"/>
    <w:rsid w:val="55B17DDD"/>
    <w:rsid w:val="55EF717A"/>
    <w:rsid w:val="56086DE2"/>
    <w:rsid w:val="56322695"/>
    <w:rsid w:val="56331D78"/>
    <w:rsid w:val="56340CD8"/>
    <w:rsid w:val="564C2C8F"/>
    <w:rsid w:val="5664145B"/>
    <w:rsid w:val="569877CE"/>
    <w:rsid w:val="56AB50DF"/>
    <w:rsid w:val="56CB03B6"/>
    <w:rsid w:val="56E8783C"/>
    <w:rsid w:val="56F12DA2"/>
    <w:rsid w:val="57D616CA"/>
    <w:rsid w:val="57F47CA8"/>
    <w:rsid w:val="58452D7C"/>
    <w:rsid w:val="58651DE4"/>
    <w:rsid w:val="58CE60A1"/>
    <w:rsid w:val="58F303E0"/>
    <w:rsid w:val="59150766"/>
    <w:rsid w:val="59343EB4"/>
    <w:rsid w:val="596468AA"/>
    <w:rsid w:val="59BB2DC9"/>
    <w:rsid w:val="59CE02B2"/>
    <w:rsid w:val="59CF242A"/>
    <w:rsid w:val="59DD2997"/>
    <w:rsid w:val="5A071B3A"/>
    <w:rsid w:val="5A120C5C"/>
    <w:rsid w:val="5AF17DD8"/>
    <w:rsid w:val="5B264F5E"/>
    <w:rsid w:val="5B29025E"/>
    <w:rsid w:val="5B3451C6"/>
    <w:rsid w:val="5B5650F7"/>
    <w:rsid w:val="5B7546AE"/>
    <w:rsid w:val="5BC34BBA"/>
    <w:rsid w:val="5C0E4A4A"/>
    <w:rsid w:val="5C26467B"/>
    <w:rsid w:val="5C6A3C81"/>
    <w:rsid w:val="5CB7682F"/>
    <w:rsid w:val="5CCD3569"/>
    <w:rsid w:val="5D492D12"/>
    <w:rsid w:val="5D861EFE"/>
    <w:rsid w:val="5DAF5CE5"/>
    <w:rsid w:val="5E0D5D17"/>
    <w:rsid w:val="5EAE7A3A"/>
    <w:rsid w:val="5EC75635"/>
    <w:rsid w:val="5EDA238D"/>
    <w:rsid w:val="5EFD09E7"/>
    <w:rsid w:val="5F0E2357"/>
    <w:rsid w:val="5F654542"/>
    <w:rsid w:val="5F69463F"/>
    <w:rsid w:val="5F7E20A6"/>
    <w:rsid w:val="5F8F6F0F"/>
    <w:rsid w:val="5FB210D2"/>
    <w:rsid w:val="5FEE2D6F"/>
    <w:rsid w:val="605138AC"/>
    <w:rsid w:val="605B62BE"/>
    <w:rsid w:val="607E3061"/>
    <w:rsid w:val="60841D80"/>
    <w:rsid w:val="60916192"/>
    <w:rsid w:val="609D63A9"/>
    <w:rsid w:val="60DA7304"/>
    <w:rsid w:val="60E528BD"/>
    <w:rsid w:val="612B637A"/>
    <w:rsid w:val="61511141"/>
    <w:rsid w:val="61605240"/>
    <w:rsid w:val="616D2F5C"/>
    <w:rsid w:val="6177724C"/>
    <w:rsid w:val="619456C1"/>
    <w:rsid w:val="61E00333"/>
    <w:rsid w:val="62802233"/>
    <w:rsid w:val="62EB6557"/>
    <w:rsid w:val="62FB5580"/>
    <w:rsid w:val="632336CA"/>
    <w:rsid w:val="632D0114"/>
    <w:rsid w:val="6333487B"/>
    <w:rsid w:val="636F305C"/>
    <w:rsid w:val="63D33037"/>
    <w:rsid w:val="64570C31"/>
    <w:rsid w:val="64A8032E"/>
    <w:rsid w:val="64B23E14"/>
    <w:rsid w:val="64CB323D"/>
    <w:rsid w:val="64D01F98"/>
    <w:rsid w:val="64F844F8"/>
    <w:rsid w:val="657507A9"/>
    <w:rsid w:val="65FC6C0B"/>
    <w:rsid w:val="662A2007"/>
    <w:rsid w:val="66311DA5"/>
    <w:rsid w:val="66683765"/>
    <w:rsid w:val="669030DA"/>
    <w:rsid w:val="67402EEC"/>
    <w:rsid w:val="674403CA"/>
    <w:rsid w:val="6745678B"/>
    <w:rsid w:val="676634CD"/>
    <w:rsid w:val="67684B74"/>
    <w:rsid w:val="67FF4E7B"/>
    <w:rsid w:val="68126E1B"/>
    <w:rsid w:val="68273EDD"/>
    <w:rsid w:val="68395F2D"/>
    <w:rsid w:val="6841627A"/>
    <w:rsid w:val="68A73B31"/>
    <w:rsid w:val="68BE52CC"/>
    <w:rsid w:val="696F34AA"/>
    <w:rsid w:val="69C2328D"/>
    <w:rsid w:val="69CC44C0"/>
    <w:rsid w:val="6A0A1901"/>
    <w:rsid w:val="6A201FF5"/>
    <w:rsid w:val="6A316A6B"/>
    <w:rsid w:val="6A4D5156"/>
    <w:rsid w:val="6A5F54E2"/>
    <w:rsid w:val="6A755F35"/>
    <w:rsid w:val="6A8F4140"/>
    <w:rsid w:val="6A912FA5"/>
    <w:rsid w:val="6ADA39D9"/>
    <w:rsid w:val="6B6B67A1"/>
    <w:rsid w:val="6B8131E3"/>
    <w:rsid w:val="6BCD15A2"/>
    <w:rsid w:val="6BD302E1"/>
    <w:rsid w:val="6C03312F"/>
    <w:rsid w:val="6C7C2F45"/>
    <w:rsid w:val="6C8248F9"/>
    <w:rsid w:val="6D2D5941"/>
    <w:rsid w:val="6D97194E"/>
    <w:rsid w:val="6E95054C"/>
    <w:rsid w:val="6F1D19EC"/>
    <w:rsid w:val="6F570DE2"/>
    <w:rsid w:val="6FD711B9"/>
    <w:rsid w:val="701769BB"/>
    <w:rsid w:val="702C3CA3"/>
    <w:rsid w:val="70327777"/>
    <w:rsid w:val="70346980"/>
    <w:rsid w:val="703F41E2"/>
    <w:rsid w:val="70DC2474"/>
    <w:rsid w:val="71391870"/>
    <w:rsid w:val="71653CF3"/>
    <w:rsid w:val="71CD22D9"/>
    <w:rsid w:val="72061140"/>
    <w:rsid w:val="725C0CF7"/>
    <w:rsid w:val="72B81684"/>
    <w:rsid w:val="72D44BB1"/>
    <w:rsid w:val="73352F12"/>
    <w:rsid w:val="736154E5"/>
    <w:rsid w:val="73894A35"/>
    <w:rsid w:val="739D28B4"/>
    <w:rsid w:val="73F76A1C"/>
    <w:rsid w:val="74365F5E"/>
    <w:rsid w:val="74483CC0"/>
    <w:rsid w:val="747C144F"/>
    <w:rsid w:val="74B35587"/>
    <w:rsid w:val="74C80EE2"/>
    <w:rsid w:val="74D56A37"/>
    <w:rsid w:val="74FD4549"/>
    <w:rsid w:val="7537356D"/>
    <w:rsid w:val="753E6AEC"/>
    <w:rsid w:val="75414346"/>
    <w:rsid w:val="756D495C"/>
    <w:rsid w:val="75765C4A"/>
    <w:rsid w:val="762737A6"/>
    <w:rsid w:val="763973BE"/>
    <w:rsid w:val="7648531A"/>
    <w:rsid w:val="764F0544"/>
    <w:rsid w:val="76562134"/>
    <w:rsid w:val="766B7FAB"/>
    <w:rsid w:val="7673093D"/>
    <w:rsid w:val="76875D51"/>
    <w:rsid w:val="76CE0484"/>
    <w:rsid w:val="76EC65AD"/>
    <w:rsid w:val="76FE2337"/>
    <w:rsid w:val="7791574E"/>
    <w:rsid w:val="7836613C"/>
    <w:rsid w:val="78496EB6"/>
    <w:rsid w:val="78574DAE"/>
    <w:rsid w:val="7864210D"/>
    <w:rsid w:val="789A4F49"/>
    <w:rsid w:val="789F32CB"/>
    <w:rsid w:val="79100C4C"/>
    <w:rsid w:val="79167DC6"/>
    <w:rsid w:val="792224A5"/>
    <w:rsid w:val="79380835"/>
    <w:rsid w:val="796A13F9"/>
    <w:rsid w:val="7999028E"/>
    <w:rsid w:val="79D70B3E"/>
    <w:rsid w:val="79F61E95"/>
    <w:rsid w:val="7A22021A"/>
    <w:rsid w:val="7A253612"/>
    <w:rsid w:val="7A2D4FFC"/>
    <w:rsid w:val="7AC565A8"/>
    <w:rsid w:val="7BC065E0"/>
    <w:rsid w:val="7BC85EC3"/>
    <w:rsid w:val="7BF11FE0"/>
    <w:rsid w:val="7BFE23CC"/>
    <w:rsid w:val="7BFE491F"/>
    <w:rsid w:val="7C155EBF"/>
    <w:rsid w:val="7C232A0E"/>
    <w:rsid w:val="7C367472"/>
    <w:rsid w:val="7C4C59C0"/>
    <w:rsid w:val="7C8F2B51"/>
    <w:rsid w:val="7D4131F3"/>
    <w:rsid w:val="7D430DE2"/>
    <w:rsid w:val="7D530511"/>
    <w:rsid w:val="7DA0596B"/>
    <w:rsid w:val="7E0E2E54"/>
    <w:rsid w:val="7E12127C"/>
    <w:rsid w:val="7E1C2F81"/>
    <w:rsid w:val="7E2E40F1"/>
    <w:rsid w:val="7E4B10BA"/>
    <w:rsid w:val="7E896129"/>
    <w:rsid w:val="7F755FDA"/>
    <w:rsid w:val="7F872921"/>
    <w:rsid w:val="7F8F5330"/>
    <w:rsid w:val="7F9D5EDF"/>
    <w:rsid w:val="7FED38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8"/>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FollowedHyperlink"/>
    <w:basedOn w:val="8"/>
    <w:qFormat/>
    <w:uiPriority w:val="0"/>
    <w:rPr>
      <w:color w:val="333333"/>
      <w:u w:val="none"/>
    </w:rPr>
  </w:style>
  <w:style w:type="character" w:styleId="10">
    <w:name w:val="Hyperlink"/>
    <w:basedOn w:val="8"/>
    <w:qFormat/>
    <w:uiPriority w:val="0"/>
    <w:rPr>
      <w:color w:val="333333"/>
      <w:u w:val="none"/>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2">
    <w:name w:val="a-size-large1"/>
    <w:qFormat/>
    <w:uiPriority w:val="99"/>
    <w:rPr>
      <w:rFonts w:ascii="Arial" w:hAnsi="Arial"/>
    </w:rPr>
  </w:style>
  <w:style w:type="character" w:customStyle="1" w:styleId="13">
    <w:name w:val="font01"/>
    <w:basedOn w:val="8"/>
    <w:qFormat/>
    <w:uiPriority w:val="0"/>
    <w:rPr>
      <w:rFonts w:hint="eastAsia" w:ascii="宋体" w:hAnsi="宋体" w:eastAsia="宋体" w:cs="宋体"/>
      <w:color w:val="000000"/>
      <w:sz w:val="20"/>
      <w:szCs w:val="20"/>
      <w:u w:val="none"/>
    </w:rPr>
  </w:style>
  <w:style w:type="character" w:customStyle="1" w:styleId="14">
    <w:name w:val="font21"/>
    <w:basedOn w:val="8"/>
    <w:qFormat/>
    <w:uiPriority w:val="0"/>
    <w:rPr>
      <w:rFonts w:hint="eastAsia" w:ascii="宋体" w:hAnsi="宋体" w:eastAsia="宋体" w:cs="宋体"/>
      <w:color w:val="000000"/>
      <w:sz w:val="22"/>
      <w:szCs w:val="22"/>
      <w:u w:val="none"/>
    </w:rPr>
  </w:style>
  <w:style w:type="character" w:customStyle="1" w:styleId="15">
    <w:name w:val="font51"/>
    <w:basedOn w:val="8"/>
    <w:qFormat/>
    <w:uiPriority w:val="0"/>
    <w:rPr>
      <w:rFonts w:hint="default" w:ascii="Arial" w:hAnsi="Arial" w:cs="Arial"/>
      <w:color w:val="000000"/>
      <w:sz w:val="22"/>
      <w:szCs w:val="22"/>
      <w:u w:val="none"/>
    </w:rPr>
  </w:style>
  <w:style w:type="character" w:customStyle="1" w:styleId="16">
    <w:name w:val="font41"/>
    <w:basedOn w:val="8"/>
    <w:qFormat/>
    <w:uiPriority w:val="0"/>
    <w:rPr>
      <w:rFonts w:hint="default" w:ascii="Arial" w:hAnsi="Arial" w:cs="Arial"/>
      <w:color w:val="000000"/>
      <w:sz w:val="22"/>
      <w:szCs w:val="22"/>
      <w:u w:val="none"/>
    </w:rPr>
  </w:style>
  <w:style w:type="character" w:customStyle="1" w:styleId="17">
    <w:name w:val="font11"/>
    <w:basedOn w:val="8"/>
    <w:qFormat/>
    <w:uiPriority w:val="0"/>
    <w:rPr>
      <w:rFonts w:hint="eastAsia" w:ascii="宋体" w:hAnsi="宋体" w:eastAsia="宋体" w:cs="宋体"/>
      <w:b/>
      <w:color w:val="000000"/>
      <w:sz w:val="20"/>
      <w:szCs w:val="20"/>
      <w:u w:val="none"/>
    </w:rPr>
  </w:style>
  <w:style w:type="character" w:customStyle="1" w:styleId="18">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hp01</cp:lastModifiedBy>
  <dcterms:modified xsi:type="dcterms:W3CDTF">2021-08-25T08:04:40Z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