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sz w:val="36"/>
          <w:szCs w:val="36"/>
          <w:lang w:eastAsia="zh-CN"/>
        </w:rPr>
      </w:pPr>
      <w:r>
        <w:rPr>
          <w:rFonts w:hint="eastAsia" w:ascii="宋体" w:hAnsi="宋体"/>
          <w:b/>
          <w:w w:val="95"/>
          <w:sz w:val="36"/>
          <w:szCs w:val="36"/>
          <w:lang w:val="en-US" w:eastAsia="zh-CN"/>
        </w:rPr>
        <w:t xml:space="preserve"> </w:t>
      </w:r>
      <w:r>
        <w:rPr>
          <w:rFonts w:hint="eastAsia" w:ascii="宋体" w:hAnsi="宋体"/>
          <w:b/>
          <w:w w:val="95"/>
          <w:sz w:val="36"/>
          <w:szCs w:val="36"/>
        </w:rPr>
        <w:t>关于</w:t>
      </w:r>
      <w:r>
        <w:rPr>
          <w:rFonts w:hint="eastAsia" w:ascii="宋体" w:hAnsi="宋体"/>
          <w:b/>
          <w:sz w:val="36"/>
          <w:szCs w:val="36"/>
          <w:lang w:eastAsia="zh-CN"/>
        </w:rPr>
        <w:t>《</w:t>
      </w:r>
      <w:r>
        <w:rPr>
          <w:rFonts w:hint="eastAsia" w:ascii="宋体" w:hAnsi="宋体"/>
          <w:b/>
          <w:sz w:val="36"/>
          <w:szCs w:val="36"/>
          <w:lang w:val="en-US" w:eastAsia="zh-CN"/>
        </w:rPr>
        <w:t>&lt;</w:t>
      </w:r>
      <w:r>
        <w:rPr>
          <w:rFonts w:hint="eastAsia" w:ascii="宋体" w:hAnsi="宋体"/>
          <w:b/>
          <w:sz w:val="36"/>
          <w:szCs w:val="36"/>
          <w:lang w:eastAsia="zh-CN"/>
        </w:rPr>
        <w:t>文昌市中心城区文城片区控制性详细规划</w:t>
      </w:r>
      <w:r>
        <w:rPr>
          <w:rFonts w:hint="eastAsia" w:ascii="宋体" w:hAnsi="宋体"/>
          <w:b/>
          <w:sz w:val="36"/>
          <w:szCs w:val="36"/>
          <w:lang w:val="en-US" w:eastAsia="zh-CN"/>
        </w:rPr>
        <w:t>&gt;</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sz w:val="36"/>
          <w:szCs w:val="36"/>
          <w:lang w:eastAsia="zh-CN"/>
        </w:rPr>
      </w:pPr>
      <w:r>
        <w:rPr>
          <w:rFonts w:hint="eastAsia" w:ascii="宋体" w:hAnsi="宋体"/>
          <w:b/>
          <w:sz w:val="36"/>
          <w:szCs w:val="36"/>
          <w:lang w:eastAsia="zh-CN"/>
        </w:rPr>
        <w:t>H-21-4、H-21-5、H-21-7等3地块规划修改论证报告》</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sz w:val="36"/>
          <w:szCs w:val="36"/>
        </w:rPr>
      </w:pPr>
      <w:r>
        <w:rPr>
          <w:rFonts w:hint="eastAsia" w:ascii="宋体" w:hAnsi="宋体"/>
          <w:b/>
          <w:w w:val="90"/>
          <w:sz w:val="36"/>
          <w:szCs w:val="36"/>
        </w:rPr>
        <w:t>公示</w:t>
      </w:r>
      <w:r>
        <w:rPr>
          <w:rFonts w:hint="eastAsia" w:ascii="宋体" w:hAnsi="宋体"/>
          <w:b/>
          <w:sz w:val="36"/>
          <w:szCs w:val="36"/>
        </w:rPr>
        <w:t>的请示</w:t>
      </w:r>
    </w:p>
    <w:p>
      <w:pPr>
        <w:keepNext w:val="0"/>
        <w:keepLines w:val="0"/>
        <w:pageBreakBefore w:val="0"/>
        <w:widowControl w:val="0"/>
        <w:kinsoku/>
        <w:wordWrap/>
        <w:overflowPunct/>
        <w:topLinePunct w:val="0"/>
        <w:autoSpaceDE/>
        <w:autoSpaceDN/>
        <w:bidi w:val="0"/>
        <w:adjustRightInd/>
        <w:snapToGrid w:val="0"/>
        <w:spacing w:line="520" w:lineRule="exact"/>
        <w:textAlignment w:val="auto"/>
        <w:rPr>
          <w:rFonts w:hint="eastAsia" w:ascii="仿宋" w:hAnsi="仿宋" w:eastAsia="仿宋"/>
          <w:sz w:val="32"/>
          <w:szCs w:val="32"/>
        </w:rPr>
      </w:pPr>
      <w:r>
        <w:rPr>
          <w:rFonts w:hint="eastAsia" w:ascii="仿宋" w:hAnsi="仿宋" w:eastAsia="仿宋"/>
          <w:sz w:val="32"/>
          <w:szCs w:val="32"/>
        </w:rPr>
        <w:t>局领导：</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lang w:eastAsia="zh-CN"/>
        </w:rPr>
        <w:t>《&lt;文昌市中心城区文城片区控制性详细规划&gt;H-21-4、H-21-5、H-21-7等3地块规划修改论证报告》</w:t>
      </w:r>
      <w:r>
        <w:rPr>
          <w:rFonts w:hint="eastAsia" w:ascii="仿宋" w:hAnsi="仿宋" w:eastAsia="仿宋"/>
          <w:color w:val="000000"/>
          <w:sz w:val="32"/>
          <w:szCs w:val="32"/>
        </w:rPr>
        <w:t>于202</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年</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12</w:t>
      </w:r>
      <w:r>
        <w:rPr>
          <w:rFonts w:hint="eastAsia" w:ascii="仿宋" w:hAnsi="仿宋" w:eastAsia="仿宋"/>
          <w:color w:val="000000"/>
          <w:sz w:val="32"/>
          <w:szCs w:val="32"/>
        </w:rPr>
        <w:t>日通过专家</w:t>
      </w:r>
      <w:r>
        <w:rPr>
          <w:rFonts w:hint="eastAsia" w:ascii="仿宋" w:hAnsi="仿宋" w:eastAsia="仿宋"/>
          <w:color w:val="000000"/>
          <w:sz w:val="32"/>
          <w:szCs w:val="32"/>
          <w:lang w:val="en-US" w:eastAsia="zh-CN"/>
        </w:rPr>
        <w:t>评审会审议</w:t>
      </w:r>
      <w:r>
        <w:rPr>
          <w:rFonts w:hint="eastAsia" w:ascii="仿宋" w:hAnsi="仿宋" w:eastAsia="仿宋"/>
          <w:color w:val="000000"/>
          <w:sz w:val="32"/>
          <w:szCs w:val="32"/>
        </w:rPr>
        <w:t>，现已按照专家</w:t>
      </w:r>
      <w:r>
        <w:rPr>
          <w:rFonts w:hint="eastAsia" w:ascii="仿宋" w:hAnsi="仿宋" w:eastAsia="仿宋"/>
          <w:color w:val="000000"/>
          <w:sz w:val="32"/>
          <w:szCs w:val="32"/>
          <w:lang w:val="en-US" w:eastAsia="zh-CN"/>
        </w:rPr>
        <w:t>评审</w:t>
      </w:r>
      <w:r>
        <w:rPr>
          <w:rFonts w:hint="eastAsia" w:ascii="仿宋" w:hAnsi="仿宋" w:eastAsia="仿宋"/>
          <w:color w:val="000000"/>
          <w:sz w:val="32"/>
          <w:szCs w:val="32"/>
        </w:rPr>
        <w:t>会意见修改完善。根据《中华人民共和国城乡规划法》《海南省城乡规划条例》</w:t>
      </w:r>
      <w:r>
        <w:rPr>
          <w:rFonts w:hint="eastAsia" w:ascii="仿宋" w:hAnsi="仿宋" w:eastAsia="仿宋"/>
          <w:color w:val="000000"/>
          <w:sz w:val="32"/>
          <w:szCs w:val="32"/>
          <w:lang w:eastAsia="zh-CN"/>
        </w:rPr>
        <w:t>《海南省城镇开发边界内控制性详细规划调整管理办法（试行）》</w:t>
      </w:r>
      <w:r>
        <w:rPr>
          <w:rFonts w:hint="eastAsia" w:ascii="仿宋" w:hAnsi="仿宋" w:eastAsia="仿宋"/>
          <w:color w:val="000000"/>
          <w:sz w:val="32"/>
          <w:szCs w:val="32"/>
          <w:lang w:val="en-US" w:eastAsia="zh-CN"/>
        </w:rPr>
        <w:t>等规定，</w:t>
      </w:r>
      <w:r>
        <w:rPr>
          <w:rFonts w:hint="eastAsia" w:ascii="仿宋" w:hAnsi="仿宋" w:eastAsia="仿宋"/>
          <w:color w:val="000000"/>
          <w:sz w:val="32"/>
          <w:szCs w:val="32"/>
        </w:rPr>
        <w:t>现拟对</w:t>
      </w:r>
      <w:r>
        <w:rPr>
          <w:rFonts w:hint="eastAsia" w:ascii="仿宋" w:hAnsi="仿宋" w:eastAsia="仿宋"/>
          <w:color w:val="000000"/>
          <w:sz w:val="32"/>
          <w:szCs w:val="32"/>
          <w:lang w:eastAsia="zh-CN"/>
        </w:rPr>
        <w:t>《&lt;文昌市中心城区文城片区控制性详细规划&gt;H-21-4、H-21-5、H-21-7等3地块规划修改论证报告》</w:t>
      </w:r>
      <w:r>
        <w:rPr>
          <w:rFonts w:hint="eastAsia" w:ascii="仿宋" w:hAnsi="仿宋" w:eastAsia="仿宋"/>
          <w:color w:val="000000"/>
          <w:sz w:val="32"/>
          <w:szCs w:val="32"/>
        </w:rPr>
        <w:t>进行公示，现将公示方案呈报如下：</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1.公示启事刊登媒体：海南日报，文昌市政府网站，现场公示。</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2.时间安排（拟定）：公示启事报纸刊登时间拟定于202</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年</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16</w:t>
      </w:r>
      <w:r>
        <w:rPr>
          <w:rFonts w:hint="eastAsia" w:ascii="仿宋" w:hAnsi="仿宋" w:eastAsia="仿宋"/>
          <w:color w:val="000000"/>
          <w:sz w:val="32"/>
          <w:szCs w:val="32"/>
        </w:rPr>
        <w:t>日，网上公示时间202</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年</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16</w:t>
      </w:r>
      <w:r>
        <w:rPr>
          <w:rFonts w:hint="eastAsia" w:ascii="仿宋" w:hAnsi="仿宋" w:eastAsia="仿宋"/>
          <w:color w:val="000000"/>
          <w:sz w:val="32"/>
          <w:szCs w:val="32"/>
        </w:rPr>
        <w:t>日至202</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年</w:t>
      </w: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15</w:t>
      </w:r>
      <w:r>
        <w:rPr>
          <w:rFonts w:hint="eastAsia" w:ascii="仿宋" w:hAnsi="仿宋" w:eastAsia="仿宋"/>
          <w:color w:val="000000"/>
          <w:sz w:val="32"/>
          <w:szCs w:val="32"/>
        </w:rPr>
        <w:t>日（30天）；</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3.意见反馈方式：电子邮件，信件。</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妥否，请批示。</w:t>
      </w: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outlineLvl w:val="0"/>
        <w:rPr>
          <w:rFonts w:hint="eastAsia" w:ascii="仿宋" w:hAnsi="仿宋" w:eastAsia="仿宋"/>
          <w:sz w:val="32"/>
          <w:szCs w:val="32"/>
        </w:rPr>
      </w:pPr>
      <w:r>
        <w:rPr>
          <w:rFonts w:hint="eastAsia" w:ascii="仿宋" w:hAnsi="仿宋" w:eastAsia="仿宋"/>
          <w:sz w:val="32"/>
          <w:szCs w:val="32"/>
        </w:rPr>
        <w:t>附件： 1</w:t>
      </w:r>
      <w:r>
        <w:rPr>
          <w:rFonts w:hint="eastAsia" w:ascii="仿宋" w:hAnsi="仿宋" w:eastAsia="仿宋"/>
          <w:sz w:val="32"/>
          <w:szCs w:val="32"/>
          <w:lang w:val="en-US" w:eastAsia="zh-CN"/>
        </w:rPr>
        <w:t>.</w:t>
      </w:r>
      <w:r>
        <w:rPr>
          <w:rFonts w:hint="eastAsia" w:ascii="仿宋" w:hAnsi="仿宋" w:eastAsia="仿宋"/>
          <w:sz w:val="32"/>
          <w:szCs w:val="32"/>
        </w:rPr>
        <w:t>公示启事</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outlineLvl w:val="0"/>
        <w:rPr>
          <w:rFonts w:hint="eastAsia" w:ascii="仿宋" w:hAnsi="仿宋" w:eastAsia="仿宋"/>
          <w:sz w:val="32"/>
          <w:szCs w:val="32"/>
        </w:rPr>
      </w:pPr>
      <w:r>
        <w:rPr>
          <w:rFonts w:hint="eastAsia" w:ascii="仿宋" w:hAnsi="仿宋" w:eastAsia="仿宋"/>
          <w:sz w:val="32"/>
          <w:szCs w:val="32"/>
        </w:rPr>
        <w:t xml:space="preserve">       2</w:t>
      </w:r>
      <w:r>
        <w:rPr>
          <w:rFonts w:hint="eastAsia" w:ascii="仿宋" w:hAnsi="仿宋" w:eastAsia="仿宋"/>
          <w:sz w:val="32"/>
          <w:szCs w:val="32"/>
          <w:lang w:val="en-US" w:eastAsia="zh-CN"/>
        </w:rPr>
        <w:t>.</w:t>
      </w:r>
      <w:r>
        <w:rPr>
          <w:rFonts w:hint="eastAsia" w:ascii="仿宋" w:hAnsi="仿宋" w:eastAsia="仿宋"/>
          <w:sz w:val="32"/>
          <w:szCs w:val="32"/>
        </w:rPr>
        <w:t>公示内容</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pacing w:line="520" w:lineRule="exact"/>
        <w:ind w:right="780" w:firstLine="640" w:firstLineChars="200"/>
        <w:jc w:val="center"/>
        <w:textAlignment w:val="auto"/>
        <w:outlineLvl w:val="0"/>
        <w:rPr>
          <w:rFonts w:hint="eastAsia" w:ascii="仿宋" w:hAnsi="仿宋" w:eastAsia="仿宋"/>
          <w:color w:val="auto"/>
          <w:sz w:val="32"/>
          <w:szCs w:val="32"/>
        </w:rPr>
      </w:pPr>
      <w:r>
        <w:rPr>
          <w:rFonts w:hint="eastAsia" w:ascii="仿宋" w:hAnsi="仿宋" w:eastAsia="仿宋"/>
          <w:sz w:val="32"/>
          <w:szCs w:val="32"/>
        </w:rPr>
        <w:t xml:space="preserve">                                </w:t>
      </w:r>
      <w:r>
        <w:rPr>
          <w:rFonts w:hint="eastAsia" w:ascii="仿宋" w:hAnsi="仿宋" w:eastAsia="仿宋"/>
          <w:color w:val="auto"/>
          <w:sz w:val="32"/>
          <w:szCs w:val="32"/>
        </w:rPr>
        <w:t xml:space="preserve"> 规划编制室    </w:t>
      </w:r>
    </w:p>
    <w:p>
      <w:pPr>
        <w:keepNext w:val="0"/>
        <w:keepLines w:val="0"/>
        <w:pageBreakBefore w:val="0"/>
        <w:widowControl w:val="0"/>
        <w:kinsoku/>
        <w:wordWrap/>
        <w:overflowPunct/>
        <w:topLinePunct w:val="0"/>
        <w:autoSpaceDE/>
        <w:autoSpaceDN/>
        <w:bidi w:val="0"/>
        <w:adjustRightInd/>
        <w:spacing w:line="520" w:lineRule="exact"/>
        <w:ind w:right="400" w:firstLine="640" w:firstLineChars="200"/>
        <w:jc w:val="right"/>
        <w:textAlignment w:val="auto"/>
        <w:rPr>
          <w:rFonts w:hint="eastAsia" w:ascii="仿宋" w:hAnsi="仿宋" w:eastAsia="仿宋"/>
          <w:color w:val="auto"/>
          <w:sz w:val="32"/>
          <w:szCs w:val="32"/>
        </w:rPr>
      </w:pPr>
      <w:r>
        <w:rPr>
          <w:rFonts w:hint="eastAsia" w:ascii="仿宋" w:hAnsi="仿宋" w:eastAsia="仿宋"/>
          <w:color w:val="auto"/>
          <w:sz w:val="32"/>
          <w:szCs w:val="32"/>
        </w:rPr>
        <w:t>202</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年</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月</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日</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sz w:val="44"/>
          <w:szCs w:val="44"/>
        </w:rPr>
      </w:pPr>
      <w:r>
        <w:rPr>
          <w:rFonts w:hint="eastAsia" w:ascii="宋体" w:hAnsi="宋体"/>
          <w:b/>
          <w:sz w:val="44"/>
          <w:szCs w:val="44"/>
        </w:rPr>
        <w:br w:type="page"/>
      </w:r>
    </w:p>
    <w:p>
      <w:pPr>
        <w:keepNext w:val="0"/>
        <w:keepLines w:val="0"/>
        <w:pageBreakBefore w:val="0"/>
        <w:widowControl w:val="0"/>
        <w:kinsoku/>
        <w:wordWrap/>
        <w:overflowPunct/>
        <w:topLinePunct w:val="0"/>
        <w:autoSpaceDE/>
        <w:autoSpaceDN/>
        <w:bidi w:val="0"/>
        <w:adjustRightInd/>
        <w:spacing w:line="600" w:lineRule="exact"/>
        <w:textAlignment w:val="auto"/>
        <w:outlineLvl w:val="0"/>
        <w:rPr>
          <w:rFonts w:hint="eastAsia" w:ascii="宋体" w:hAnsi="宋体"/>
          <w:b/>
          <w:sz w:val="30"/>
          <w:szCs w:val="30"/>
        </w:rPr>
      </w:pPr>
      <w:r>
        <w:rPr>
          <w:rFonts w:hint="eastAsia" w:ascii="仿宋" w:hAnsi="仿宋" w:eastAsia="仿宋"/>
          <w:b/>
          <w:sz w:val="30"/>
          <w:szCs w:val="30"/>
        </w:rPr>
        <w:t>附件1：公示启事</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w w:val="95"/>
          <w:sz w:val="36"/>
          <w:szCs w:val="36"/>
        </w:rPr>
      </w:pPr>
      <w:r>
        <w:rPr>
          <w:rFonts w:hint="eastAsia" w:ascii="宋体" w:hAnsi="宋体"/>
          <w:b/>
          <w:w w:val="95"/>
          <w:sz w:val="36"/>
          <w:szCs w:val="36"/>
        </w:rPr>
        <w:t>文昌市自然资源和规划局</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sz w:val="36"/>
          <w:szCs w:val="36"/>
          <w:lang w:eastAsia="zh-CN"/>
        </w:rPr>
      </w:pPr>
      <w:r>
        <w:rPr>
          <w:rFonts w:hint="eastAsia" w:ascii="宋体" w:hAnsi="宋体"/>
          <w:b/>
          <w:w w:val="95"/>
          <w:sz w:val="36"/>
          <w:szCs w:val="36"/>
        </w:rPr>
        <w:t>关于</w:t>
      </w:r>
      <w:r>
        <w:rPr>
          <w:rFonts w:hint="eastAsia" w:ascii="宋体" w:hAnsi="宋体"/>
          <w:b/>
          <w:sz w:val="36"/>
          <w:szCs w:val="36"/>
          <w:lang w:eastAsia="zh-CN"/>
        </w:rPr>
        <w:t>《&lt;文昌市中心城区文城片区控制性详细规划&gt;</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sz w:val="36"/>
          <w:szCs w:val="36"/>
          <w:lang w:eastAsia="zh-CN"/>
        </w:rPr>
      </w:pPr>
      <w:r>
        <w:rPr>
          <w:rFonts w:hint="eastAsia" w:ascii="宋体" w:hAnsi="宋体"/>
          <w:b/>
          <w:sz w:val="36"/>
          <w:szCs w:val="36"/>
          <w:lang w:eastAsia="zh-CN"/>
        </w:rPr>
        <w:t>H-21-4、H-21-5、H-21-7等3地块规划修改论证报告》</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w w:val="95"/>
          <w:sz w:val="36"/>
          <w:szCs w:val="36"/>
        </w:rPr>
      </w:pPr>
      <w:r>
        <w:rPr>
          <w:rFonts w:hint="eastAsia" w:ascii="宋体" w:hAnsi="宋体"/>
          <w:b/>
          <w:w w:val="95"/>
          <w:sz w:val="36"/>
          <w:szCs w:val="36"/>
        </w:rPr>
        <w:t>公示启事</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 w:hAnsi="仿宋" w:eastAsia="仿宋"/>
          <w:sz w:val="32"/>
          <w:szCs w:val="32"/>
        </w:rPr>
      </w:pPr>
      <w:r>
        <w:rPr>
          <w:rFonts w:hint="eastAsia" w:ascii="仿宋" w:hAnsi="仿宋" w:eastAsia="仿宋"/>
          <w:color w:val="000000"/>
          <w:sz w:val="32"/>
          <w:szCs w:val="32"/>
          <w:lang w:eastAsia="zh-CN"/>
        </w:rPr>
        <w:t>《&lt;文昌市中心城区文城片区控制性详细规划&gt;H-21-4、H-21-5、H-21-7等3地块规划修改论证报告》</w:t>
      </w:r>
      <w:r>
        <w:rPr>
          <w:rFonts w:hint="eastAsia" w:ascii="仿宋" w:hAnsi="仿宋" w:eastAsia="仿宋"/>
          <w:sz w:val="32"/>
          <w:szCs w:val="32"/>
        </w:rPr>
        <w:t>经专家评审会审议通过,根据有关法律法规，为广泛征求社会各界人士意见和建议，我局现按程序进行公示。</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1.公示时间：</w:t>
      </w:r>
      <w:r>
        <w:rPr>
          <w:rFonts w:ascii="仿宋" w:hAnsi="仿宋" w:eastAsia="仿宋"/>
          <w:sz w:val="32"/>
          <w:szCs w:val="32"/>
        </w:rPr>
        <w:t>30天</w:t>
      </w:r>
      <w:r>
        <w:rPr>
          <w:rFonts w:ascii="仿宋" w:hAnsi="仿宋" w:eastAsia="仿宋"/>
          <w:sz w:val="32"/>
          <w:szCs w:val="32"/>
          <w:highlight w:val="none"/>
        </w:rPr>
        <w:t>（2024年</w:t>
      </w:r>
      <w:r>
        <w:rPr>
          <w:rFonts w:hint="eastAsia" w:ascii="仿宋" w:hAnsi="仿宋" w:eastAsia="仿宋"/>
          <w:sz w:val="32"/>
          <w:szCs w:val="32"/>
          <w:highlight w:val="none"/>
          <w:lang w:val="en-US" w:eastAsia="zh-CN"/>
        </w:rPr>
        <w:t>4</w:t>
      </w:r>
      <w:r>
        <w:rPr>
          <w:rFonts w:ascii="仿宋" w:hAnsi="仿宋" w:eastAsia="仿宋"/>
          <w:sz w:val="32"/>
          <w:szCs w:val="32"/>
          <w:highlight w:val="none"/>
        </w:rPr>
        <w:t>月</w:t>
      </w:r>
      <w:r>
        <w:rPr>
          <w:rFonts w:hint="eastAsia" w:ascii="仿宋" w:hAnsi="仿宋" w:eastAsia="仿宋"/>
          <w:sz w:val="32"/>
          <w:szCs w:val="32"/>
          <w:highlight w:val="none"/>
          <w:lang w:val="en-US" w:eastAsia="zh-CN"/>
        </w:rPr>
        <w:t>16</w:t>
      </w:r>
      <w:r>
        <w:rPr>
          <w:rFonts w:ascii="仿宋" w:hAnsi="仿宋" w:eastAsia="仿宋"/>
          <w:sz w:val="32"/>
          <w:szCs w:val="32"/>
          <w:highlight w:val="none"/>
        </w:rPr>
        <w:t>日至2024年</w:t>
      </w:r>
      <w:r>
        <w:rPr>
          <w:rFonts w:hint="eastAsia" w:ascii="仿宋" w:hAnsi="仿宋" w:eastAsia="仿宋"/>
          <w:sz w:val="32"/>
          <w:szCs w:val="32"/>
          <w:highlight w:val="none"/>
          <w:lang w:val="en-US" w:eastAsia="zh-CN"/>
        </w:rPr>
        <w:t>5</w:t>
      </w:r>
      <w:r>
        <w:rPr>
          <w:rFonts w:ascii="仿宋" w:hAnsi="仿宋" w:eastAsia="仿宋"/>
          <w:sz w:val="32"/>
          <w:szCs w:val="32"/>
          <w:highlight w:val="none"/>
        </w:rPr>
        <w:t>月</w:t>
      </w:r>
      <w:r>
        <w:rPr>
          <w:rFonts w:hint="eastAsia" w:ascii="仿宋" w:hAnsi="仿宋" w:eastAsia="仿宋"/>
          <w:sz w:val="32"/>
          <w:szCs w:val="32"/>
          <w:highlight w:val="none"/>
          <w:lang w:val="en-US" w:eastAsia="zh-CN"/>
        </w:rPr>
        <w:t>15</w:t>
      </w:r>
      <w:r>
        <w:rPr>
          <w:rFonts w:ascii="仿宋" w:hAnsi="仿宋" w:eastAsia="仿宋"/>
          <w:sz w:val="32"/>
          <w:szCs w:val="32"/>
          <w:highlight w:val="none"/>
        </w:rPr>
        <w:t>日）</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2.公示地点：《海南日报》、海南省自然资源和规划厅网站、文昌市人民政府网站、现场公示。</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3.公示意见反馈方式：</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（1）电子邮件请发送到：wczrzj@163.com；</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（2）书面意见请邮寄到文昌市文城镇清澜开发区白金路2号文昌市自然资源和规划局规划编制室，邮政编码：571339</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（3）意见和建议应在公示期限内提出，逾期未反馈，将视为无意见。</w:t>
      </w:r>
    </w:p>
    <w:p>
      <w:pPr>
        <w:spacing w:line="520" w:lineRule="exact"/>
        <w:ind w:firstLine="640" w:firstLineChars="200"/>
        <w:outlineLvl w:val="0"/>
        <w:rPr>
          <w:rFonts w:ascii="仿宋" w:hAnsi="仿宋" w:eastAsia="仿宋"/>
          <w:sz w:val="32"/>
          <w:szCs w:val="32"/>
        </w:rPr>
      </w:pPr>
      <w:r>
        <w:rPr>
          <w:rFonts w:hint="eastAsia" w:ascii="仿宋" w:hAnsi="仿宋" w:eastAsia="仿宋"/>
          <w:sz w:val="32"/>
          <w:szCs w:val="32"/>
        </w:rPr>
        <w:t>4.咨询电话：0898-63332128，联系人：刘工。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0"/>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pacing w:line="560" w:lineRule="exact"/>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pacing w:line="560" w:lineRule="exact"/>
        <w:ind w:firstLine="5600" w:firstLineChars="1750"/>
        <w:textAlignment w:val="auto"/>
        <w:rPr>
          <w:rFonts w:hint="eastAsia" w:ascii="仿宋" w:hAnsi="仿宋" w:eastAsia="仿宋"/>
          <w:sz w:val="32"/>
          <w:szCs w:val="32"/>
        </w:rPr>
      </w:pPr>
      <w:r>
        <w:rPr>
          <w:rFonts w:hint="eastAsia" w:ascii="仿宋" w:hAnsi="仿宋" w:eastAsia="仿宋"/>
          <w:sz w:val="32"/>
          <w:szCs w:val="32"/>
        </w:rPr>
        <w:t>文昌市自然资源和规划局</w:t>
      </w:r>
    </w:p>
    <w:p>
      <w:pPr>
        <w:keepNext w:val="0"/>
        <w:keepLines w:val="0"/>
        <w:pageBreakBefore w:val="0"/>
        <w:widowControl w:val="0"/>
        <w:kinsoku/>
        <w:wordWrap/>
        <w:overflowPunct/>
        <w:topLinePunct w:val="0"/>
        <w:autoSpaceDE/>
        <w:autoSpaceDN/>
        <w:bidi w:val="0"/>
        <w:adjustRightInd/>
        <w:spacing w:line="560" w:lineRule="exact"/>
        <w:ind w:right="1180"/>
        <w:jc w:val="right"/>
        <w:textAlignment w:val="auto"/>
        <w:rPr>
          <w:rFonts w:hint="default" w:ascii="仿宋" w:hAnsi="仿宋" w:eastAsia="仿宋"/>
          <w:b/>
          <w:color w:val="auto"/>
          <w:sz w:val="32"/>
          <w:szCs w:val="32"/>
          <w:lang w:val="en-US" w:eastAsia="zh-CN"/>
        </w:rPr>
        <w:sectPr>
          <w:headerReference r:id="rId3" w:type="default"/>
          <w:pgSz w:w="12240" w:h="15839"/>
          <w:pgMar w:top="1440" w:right="1321" w:bottom="1440" w:left="1797" w:header="720" w:footer="720" w:gutter="0"/>
          <w:pgBorders>
            <w:top w:val="none" w:sz="0" w:space="0"/>
            <w:left w:val="none" w:sz="0" w:space="0"/>
            <w:bottom w:val="none" w:sz="0" w:space="0"/>
            <w:right w:val="none" w:sz="0" w:space="0"/>
          </w:pgBorders>
          <w:cols w:space="0" w:num="1"/>
          <w:rtlGutter w:val="0"/>
          <w:docGrid w:linePitch="0" w:charSpace="0"/>
        </w:sectPr>
      </w:pPr>
      <w:r>
        <w:rPr>
          <w:rFonts w:hint="eastAsia" w:ascii="仿宋" w:hAnsi="仿宋" w:eastAsia="仿宋"/>
          <w:color w:val="auto"/>
          <w:sz w:val="32"/>
          <w:szCs w:val="32"/>
        </w:rPr>
        <w:t>202</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年</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月</w:t>
      </w:r>
      <w:r>
        <w:rPr>
          <w:rFonts w:hint="eastAsia" w:ascii="仿宋" w:hAnsi="仿宋" w:eastAsia="仿宋"/>
          <w:color w:val="auto"/>
          <w:sz w:val="32"/>
          <w:szCs w:val="32"/>
          <w:lang w:val="en-US" w:eastAsia="zh-CN"/>
        </w:rPr>
        <w:t xml:space="preserve">  日</w:t>
      </w:r>
    </w:p>
    <w:p>
      <w:pPr>
        <w:keepNext w:val="0"/>
        <w:keepLines w:val="0"/>
        <w:pageBreakBefore w:val="0"/>
        <w:widowControl w:val="0"/>
        <w:kinsoku/>
        <w:wordWrap/>
        <w:overflowPunct/>
        <w:topLinePunct w:val="0"/>
        <w:autoSpaceDE/>
        <w:autoSpaceDN/>
        <w:bidi w:val="0"/>
        <w:adjustRightInd/>
        <w:spacing w:line="600" w:lineRule="exact"/>
        <w:textAlignment w:val="auto"/>
        <w:outlineLvl w:val="0"/>
        <w:rPr>
          <w:rFonts w:hint="eastAsia" w:ascii="仿宋" w:hAnsi="仿宋" w:eastAsia="仿宋"/>
          <w:b/>
          <w:sz w:val="30"/>
          <w:szCs w:val="30"/>
        </w:rPr>
      </w:pPr>
      <w:r>
        <w:rPr>
          <w:rFonts w:hint="eastAsia" w:ascii="仿宋" w:hAnsi="仿宋" w:eastAsia="仿宋"/>
          <w:b/>
          <w:sz w:val="30"/>
          <w:szCs w:val="30"/>
        </w:rPr>
        <w:t>附件2：公示内容</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sz w:val="36"/>
          <w:szCs w:val="36"/>
          <w:lang w:eastAsia="zh-CN"/>
        </w:rPr>
      </w:pPr>
      <w:r>
        <w:rPr>
          <w:rFonts w:hint="eastAsia" w:ascii="宋体" w:hAnsi="宋体"/>
          <w:b/>
          <w:sz w:val="36"/>
          <w:szCs w:val="36"/>
          <w:lang w:eastAsia="zh-CN"/>
        </w:rPr>
        <w:t>《&lt;文昌市中心城区文城片区控制性详细规划&gt;</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b/>
          <w:sz w:val="36"/>
          <w:szCs w:val="36"/>
          <w:lang w:eastAsia="zh-CN"/>
        </w:rPr>
      </w:pPr>
      <w:r>
        <w:rPr>
          <w:rFonts w:hint="eastAsia" w:ascii="宋体" w:hAnsi="宋体"/>
          <w:b/>
          <w:sz w:val="36"/>
          <w:szCs w:val="36"/>
          <w:lang w:eastAsia="zh-CN"/>
        </w:rPr>
        <w:t>H-21-4、H-21-5、H-21-7等3地块规划修改论证报告》</w:t>
      </w:r>
    </w:p>
    <w:p>
      <w:pPr>
        <w:keepNext w:val="0"/>
        <w:keepLines w:val="0"/>
        <w:pageBreakBefore w:val="0"/>
        <w:widowControl w:val="0"/>
        <w:kinsoku/>
        <w:wordWrap/>
        <w:overflowPunct/>
        <w:topLinePunct w:val="0"/>
        <w:autoSpaceDE/>
        <w:autoSpaceDN/>
        <w:bidi w:val="0"/>
        <w:adjustRightInd/>
        <w:spacing w:line="580" w:lineRule="exact"/>
        <w:jc w:val="center"/>
        <w:textAlignment w:val="auto"/>
        <w:rPr>
          <w:rFonts w:hint="eastAsia" w:ascii="宋体" w:hAnsi="宋体" w:eastAsia="宋体"/>
          <w:b/>
          <w:sz w:val="36"/>
          <w:szCs w:val="36"/>
        </w:rPr>
      </w:pPr>
      <w:r>
        <w:rPr>
          <w:rFonts w:hint="eastAsia" w:ascii="宋体" w:hAnsi="宋体" w:eastAsia="宋体"/>
          <w:b/>
          <w:sz w:val="36"/>
          <w:szCs w:val="36"/>
        </w:rPr>
        <w:t>方案简介</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outlineLvl w:val="0"/>
        <w:rPr>
          <w:rFonts w:hint="default" w:ascii="仿宋" w:hAnsi="仿宋" w:eastAsia="仿宋"/>
          <w:b/>
          <w:sz w:val="32"/>
          <w:szCs w:val="32"/>
          <w:lang w:val="en-US" w:eastAsia="zh-CN"/>
        </w:rPr>
      </w:pPr>
      <w:r>
        <w:rPr>
          <w:rFonts w:hint="eastAsia" w:ascii="仿宋" w:hAnsi="仿宋" w:eastAsia="仿宋"/>
          <w:b/>
          <w:sz w:val="32"/>
          <w:szCs w:val="32"/>
        </w:rPr>
        <w:t>一、</w:t>
      </w:r>
      <w:r>
        <w:rPr>
          <w:rFonts w:hint="eastAsia" w:ascii="仿宋" w:hAnsi="仿宋" w:eastAsia="仿宋"/>
          <w:b/>
          <w:sz w:val="32"/>
          <w:szCs w:val="32"/>
          <w:lang w:val="en-US" w:eastAsia="zh-CN"/>
        </w:rPr>
        <w:t>论证范围</w:t>
      </w:r>
    </w:p>
    <w:p>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outlineLvl w:val="0"/>
        <w:rPr>
          <w:rFonts w:hint="eastAsia" w:ascii="仿宋" w:hAnsi="仿宋" w:eastAsia="仿宋" w:cs="Times New Roman"/>
          <w:color w:val="000000" w:themeColor="text1"/>
          <w:sz w:val="32"/>
          <w:szCs w:val="32"/>
          <w:lang w:val="en-US" w:eastAsia="zh-CN"/>
          <w14:textFill>
            <w14:solidFill>
              <w14:schemeClr w14:val="tx1"/>
            </w14:solidFill>
          </w14:textFill>
        </w:rPr>
      </w:pPr>
      <w:r>
        <w:rPr>
          <w:rFonts w:hint="eastAsia" w:ascii="仿宋" w:hAnsi="仿宋" w:eastAsia="仿宋" w:cs="Times New Roman"/>
          <w:color w:val="000000" w:themeColor="text1"/>
          <w:sz w:val="32"/>
          <w:szCs w:val="32"/>
          <w:lang w:val="en-US" w:eastAsia="zh-CN"/>
          <w14:textFill>
            <w14:solidFill>
              <w14:schemeClr w14:val="tx1"/>
            </w14:solidFill>
          </w14:textFill>
        </w:rPr>
        <w:t>本次论证地块位于文昌市文城中心城区文城片区的东部，地块东侧紧邻文滨西路，南临滨华路，西侧紧邻教育东路。总用地面积为378053平方米（折合约为567亩）。</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43" w:firstLineChars="200"/>
        <w:jc w:val="left"/>
        <w:textAlignment w:val="auto"/>
        <w:outlineLvl w:val="0"/>
        <w:rPr>
          <w:rFonts w:hint="default" w:ascii="仿宋" w:hAnsi="仿宋" w:eastAsia="仿宋"/>
          <w:b/>
          <w:sz w:val="32"/>
          <w:szCs w:val="32"/>
          <w:lang w:val="en-US" w:eastAsia="zh-CN"/>
        </w:rPr>
      </w:pPr>
      <w:r>
        <w:rPr>
          <w:rFonts w:hint="eastAsia" w:ascii="仿宋" w:hAnsi="仿宋" w:eastAsia="仿宋"/>
          <w:b/>
          <w:sz w:val="32"/>
          <w:szCs w:val="32"/>
        </w:rPr>
        <w:t>二、</w:t>
      </w:r>
      <w:r>
        <w:rPr>
          <w:rFonts w:hint="eastAsia" w:ascii="仿宋" w:hAnsi="仿宋" w:eastAsia="仿宋"/>
          <w:b/>
          <w:sz w:val="32"/>
          <w:szCs w:val="32"/>
          <w:lang w:val="en-US" w:eastAsia="zh-CN"/>
        </w:rPr>
        <w:t>调整修改缘由</w:t>
      </w:r>
    </w:p>
    <w:p>
      <w:pPr>
        <w:pStyle w:val="8"/>
        <w:snapToGrid w:val="0"/>
        <w:spacing w:line="560" w:lineRule="exact"/>
        <w:ind w:firstLine="640" w:firstLineChars="0"/>
        <w:rPr>
          <w:rFonts w:hint="eastAsia" w:ascii="仿宋" w:hAnsi="仿宋" w:eastAsia="仿宋"/>
          <w:sz w:val="32"/>
          <w:szCs w:val="32"/>
          <w:lang w:val="en-US" w:eastAsia="zh-CN"/>
        </w:rPr>
      </w:pPr>
      <w:r>
        <w:rPr>
          <w:rFonts w:hint="eastAsia" w:ascii="仿宋" w:hAnsi="仿宋" w:eastAsia="仿宋"/>
          <w:sz w:val="32"/>
          <w:szCs w:val="32"/>
          <w:lang w:val="en-US" w:eastAsia="zh-CN"/>
        </w:rPr>
        <w:t>在海南加快建设具有世界影响力的中国特色自由贸易港背景下，随着海南对外开放程度不断加深，海南各类涉外活动及“3+1”现代产业体系建设等亟需高素质、应用型、国际化人才支撑。海南外国语职业学院作为外语类院校，在应用复合型国际人才尤其小语种人才培养方面有着不可替代的作用和优势。海南外国语职业学院是文昌市唯一一所高等院校，其建设有利于提高文昌市教育办学形象，推进文昌市教育事业的长远发展。同时有利于循序渐进推进城镇的开发建设。</w:t>
      </w:r>
    </w:p>
    <w:p>
      <w:pPr>
        <w:pStyle w:val="8"/>
        <w:snapToGrid w:val="0"/>
        <w:spacing w:line="560" w:lineRule="exact"/>
        <w:ind w:firstLine="640" w:firstLineChars="0"/>
        <w:rPr>
          <w:rFonts w:hint="eastAsia" w:ascii="仿宋" w:hAnsi="仿宋" w:eastAsia="仿宋"/>
          <w:sz w:val="32"/>
          <w:szCs w:val="32"/>
          <w:lang w:eastAsia="zh-CN"/>
        </w:rPr>
      </w:pPr>
      <w:r>
        <w:rPr>
          <w:rFonts w:hint="eastAsia" w:ascii="仿宋" w:hAnsi="仿宋" w:eastAsia="仿宋"/>
          <w:sz w:val="32"/>
          <w:szCs w:val="32"/>
          <w:lang w:val="en-US" w:eastAsia="zh-CN"/>
        </w:rPr>
        <w:t>海南外国语职业学院现有校区用地规模为198869平方米，教职工400多人，学生人数6738人。未来计划招生人数达13000人，根据《普通高等学校建筑面积指标》的要求，未来校舍的建设规模需满足295620平方米，目前现状已建110817.22平方米，校舍缺口面积为184802平方米。因此急需对现有的用地规模进行增加。</w:t>
      </w:r>
    </w:p>
    <w:p>
      <w:pPr>
        <w:keepNext w:val="0"/>
        <w:keepLines w:val="0"/>
        <w:pageBreakBefore w:val="0"/>
        <w:widowControl w:val="0"/>
        <w:kinsoku/>
        <w:wordWrap/>
        <w:overflowPunct/>
        <w:topLinePunct w:val="0"/>
        <w:autoSpaceDE/>
        <w:autoSpaceDN/>
        <w:bidi w:val="0"/>
        <w:adjustRightInd/>
        <w:spacing w:line="600" w:lineRule="exact"/>
        <w:ind w:firstLine="643" w:firstLineChars="200"/>
        <w:textAlignment w:val="auto"/>
        <w:outlineLvl w:val="0"/>
        <w:rPr>
          <w:rFonts w:hint="eastAsia" w:ascii="仿宋" w:hAnsi="仿宋" w:eastAsia="仿宋"/>
          <w:b/>
          <w:sz w:val="32"/>
          <w:szCs w:val="32"/>
        </w:rPr>
      </w:pPr>
      <w:r>
        <w:rPr>
          <w:rFonts w:hint="eastAsia" w:ascii="仿宋" w:hAnsi="仿宋" w:eastAsia="仿宋"/>
          <w:b/>
          <w:sz w:val="32"/>
          <w:szCs w:val="32"/>
        </w:rPr>
        <w:t>三、</w:t>
      </w:r>
      <w:r>
        <w:rPr>
          <w:rFonts w:hint="eastAsia" w:ascii="仿宋" w:hAnsi="仿宋" w:eastAsia="仿宋"/>
          <w:b/>
          <w:sz w:val="32"/>
          <w:szCs w:val="32"/>
          <w:lang w:val="en-US" w:eastAsia="zh-CN"/>
        </w:rPr>
        <w:t>规划</w:t>
      </w:r>
      <w:r>
        <w:rPr>
          <w:rFonts w:hint="eastAsia" w:ascii="仿宋" w:hAnsi="仿宋" w:eastAsia="仿宋"/>
          <w:b/>
          <w:sz w:val="32"/>
          <w:szCs w:val="32"/>
        </w:rPr>
        <w:t>依据</w:t>
      </w:r>
    </w:p>
    <w:p>
      <w:pPr>
        <w:spacing w:line="52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1.《中华人民共和国城乡规划法》(2019年修正)</w:t>
      </w:r>
    </w:p>
    <w:p>
      <w:pPr>
        <w:spacing w:line="52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2.《海南省城乡规划条例》(2018年修正)</w:t>
      </w:r>
    </w:p>
    <w:p>
      <w:pPr>
        <w:spacing w:line="52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 xml:space="preserve">3.《海南省城镇开发边界内控制性详细规划调整管理办法（试行）》（琼自然资规〔2022〕3号文） </w:t>
      </w:r>
    </w:p>
    <w:p>
      <w:pPr>
        <w:spacing w:line="52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4.《海南省省和市县总体规划实施管理办法》（琼府〔2022〕8号）</w:t>
      </w:r>
    </w:p>
    <w:p>
      <w:pPr>
        <w:spacing w:line="52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5.《国土空间调查、规划、用途管制用地用海分类指南》</w:t>
      </w:r>
    </w:p>
    <w:p>
      <w:pPr>
        <w:spacing w:line="52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6.《文昌市中心城区文城片区控制性详细规划》</w:t>
      </w:r>
    </w:p>
    <w:p>
      <w:pPr>
        <w:spacing w:line="520" w:lineRule="exact"/>
        <w:ind w:firstLine="640" w:firstLineChars="20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7.国家、海南省、市其他相关法律法规和规划标准</w:t>
      </w:r>
    </w:p>
    <w:p>
      <w:pPr>
        <w:keepNext w:val="0"/>
        <w:keepLines w:val="0"/>
        <w:pageBreakBefore w:val="0"/>
        <w:widowControl w:val="0"/>
        <w:kinsoku/>
        <w:wordWrap/>
        <w:overflowPunct/>
        <w:topLinePunct w:val="0"/>
        <w:autoSpaceDE/>
        <w:autoSpaceDN/>
        <w:bidi w:val="0"/>
        <w:adjustRightInd/>
        <w:spacing w:line="600" w:lineRule="exact"/>
        <w:textAlignment w:val="auto"/>
        <w:outlineLvl w:val="0"/>
        <w:rPr>
          <w:rFonts w:hint="default" w:ascii="仿宋" w:hAnsi="仿宋" w:eastAsia="仿宋"/>
          <w:b/>
          <w:sz w:val="32"/>
          <w:szCs w:val="32"/>
          <w:lang w:val="en-US" w:eastAsia="zh-CN"/>
        </w:rPr>
      </w:pPr>
      <w:r>
        <w:rPr>
          <w:rFonts w:hint="eastAsia" w:ascii="仿宋" w:hAnsi="仿宋" w:eastAsia="仿宋"/>
          <w:b/>
          <w:sz w:val="32"/>
          <w:szCs w:val="32"/>
        </w:rPr>
        <w:t>四、</w:t>
      </w:r>
      <w:r>
        <w:rPr>
          <w:rFonts w:hint="eastAsia" w:ascii="仿宋" w:hAnsi="仿宋" w:eastAsia="仿宋"/>
          <w:b/>
          <w:sz w:val="32"/>
          <w:szCs w:val="32"/>
          <w:lang w:val="en-US" w:eastAsia="zh-CN"/>
        </w:rPr>
        <w:t>规划修改内容</w:t>
      </w:r>
    </w:p>
    <w:p>
      <w:pPr>
        <w:pStyle w:val="8"/>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kern w:val="0"/>
          <w:sz w:val="32"/>
          <w:szCs w:val="32"/>
          <w:shd w:val="clear" w:color="auto" w:fill="FFFFFF"/>
          <w:lang w:eastAsia="zh-CN"/>
        </w:rPr>
      </w:pPr>
      <w:r>
        <w:rPr>
          <w:rFonts w:hint="eastAsia" w:ascii="仿宋" w:hAnsi="仿宋" w:eastAsia="仿宋" w:cs="仿宋"/>
          <w:kern w:val="0"/>
          <w:sz w:val="32"/>
          <w:szCs w:val="32"/>
          <w:shd w:val="clear" w:color="auto" w:fill="FFFFFF"/>
        </w:rPr>
        <w:t>通过对用地</w:t>
      </w:r>
      <w:r>
        <w:rPr>
          <w:rFonts w:hint="eastAsia" w:ascii="仿宋" w:hAnsi="仿宋" w:eastAsia="仿宋" w:cs="仿宋"/>
          <w:kern w:val="0"/>
          <w:sz w:val="32"/>
          <w:szCs w:val="32"/>
          <w:shd w:val="clear" w:color="auto" w:fill="FFFFFF"/>
          <w:lang w:val="en-US" w:eastAsia="zh-CN"/>
        </w:rPr>
        <w:t>性质</w:t>
      </w:r>
      <w:r>
        <w:rPr>
          <w:rFonts w:hint="eastAsia" w:ascii="仿宋" w:hAnsi="仿宋" w:eastAsia="仿宋" w:cs="仿宋"/>
          <w:kern w:val="0"/>
          <w:sz w:val="32"/>
          <w:szCs w:val="32"/>
          <w:shd w:val="clear" w:color="auto" w:fill="FFFFFF"/>
        </w:rPr>
        <w:t>、</w:t>
      </w:r>
      <w:r>
        <w:rPr>
          <w:rFonts w:hint="eastAsia" w:ascii="仿宋" w:hAnsi="仿宋" w:eastAsia="仿宋" w:cs="仿宋"/>
          <w:kern w:val="0"/>
          <w:sz w:val="32"/>
          <w:szCs w:val="32"/>
          <w:shd w:val="clear" w:color="auto" w:fill="FFFFFF"/>
          <w:lang w:val="en-US" w:eastAsia="zh-CN"/>
        </w:rPr>
        <w:t>用地</w:t>
      </w:r>
      <w:r>
        <w:rPr>
          <w:rFonts w:hint="eastAsia" w:ascii="仿宋" w:hAnsi="仿宋" w:eastAsia="仿宋" w:cs="仿宋"/>
          <w:kern w:val="0"/>
          <w:sz w:val="32"/>
          <w:szCs w:val="32"/>
          <w:shd w:val="clear" w:color="auto" w:fill="FFFFFF"/>
        </w:rPr>
        <w:t>规划条件的分析研究，</w:t>
      </w:r>
      <w:r>
        <w:rPr>
          <w:rFonts w:hint="eastAsia" w:ascii="仿宋" w:hAnsi="仿宋" w:eastAsia="仿宋" w:cs="仿宋"/>
          <w:kern w:val="0"/>
          <w:sz w:val="32"/>
          <w:szCs w:val="32"/>
          <w:shd w:val="clear" w:color="auto" w:fill="FFFFFF"/>
          <w:lang w:val="en-US" w:eastAsia="zh-CN"/>
        </w:rPr>
        <w:t>本次规划修改内容</w:t>
      </w:r>
      <w:r>
        <w:rPr>
          <w:rFonts w:hint="eastAsia" w:ascii="仿宋" w:hAnsi="仿宋" w:eastAsia="仿宋" w:cs="仿宋"/>
          <w:kern w:val="0"/>
          <w:sz w:val="32"/>
          <w:szCs w:val="32"/>
          <w:shd w:val="clear" w:color="auto" w:fill="FFFFFF"/>
        </w:rPr>
        <w:t>为</w:t>
      </w:r>
      <w:r>
        <w:rPr>
          <w:rFonts w:hint="eastAsia" w:ascii="仿宋" w:hAnsi="仿宋" w:eastAsia="仿宋" w:cs="仿宋"/>
          <w:kern w:val="0"/>
          <w:sz w:val="32"/>
          <w:szCs w:val="32"/>
          <w:shd w:val="clear" w:color="auto" w:fill="FFFFFF"/>
          <w:lang w:eastAsia="zh-CN"/>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lang w:val="en-US" w:eastAsia="zh-CN"/>
        </w:rPr>
        <w:t>1.</w:t>
      </w:r>
      <w:r>
        <w:rPr>
          <w:rFonts w:hint="eastAsia" w:ascii="仿宋" w:hAnsi="仿宋" w:eastAsia="仿宋" w:cs="仿宋"/>
          <w:kern w:val="0"/>
          <w:sz w:val="32"/>
          <w:szCs w:val="32"/>
          <w:shd w:val="clear" w:color="auto" w:fill="FFFFFF"/>
          <w:lang w:eastAsia="zh-CN"/>
        </w:rPr>
        <w:t>将</w:t>
      </w:r>
      <w:r>
        <w:rPr>
          <w:rFonts w:hint="eastAsia" w:ascii="仿宋" w:hAnsi="仿宋" w:eastAsia="仿宋"/>
          <w:sz w:val="32"/>
          <w:szCs w:val="32"/>
          <w:lang w:val="en-US" w:eastAsia="zh-CN"/>
        </w:rPr>
        <w:t>论证范围</w:t>
      </w:r>
      <w:r>
        <w:rPr>
          <w:rFonts w:hint="eastAsia" w:ascii="仿宋" w:hAnsi="仿宋" w:eastAsia="仿宋" w:cs="仿宋"/>
          <w:kern w:val="0"/>
          <w:sz w:val="32"/>
          <w:szCs w:val="32"/>
          <w:shd w:val="clear" w:color="auto" w:fill="FFFFFF"/>
          <w:lang w:eastAsia="zh-CN"/>
        </w:rPr>
        <w:t>中规划为</w:t>
      </w:r>
      <w:r>
        <w:rPr>
          <w:rFonts w:hint="eastAsia" w:ascii="仿宋" w:hAnsi="仿宋" w:eastAsia="仿宋" w:cs="仿宋"/>
          <w:kern w:val="0"/>
          <w:sz w:val="32"/>
          <w:szCs w:val="32"/>
          <w:shd w:val="clear" w:color="auto" w:fill="FFFFFF"/>
        </w:rPr>
        <w:t>城镇住宅/商业混合用地（0701/0901）和零售商业用地（090101）调整为高等教育用地（080401），即H-21-4部分地块</w:t>
      </w:r>
      <w:r>
        <w:rPr>
          <w:rFonts w:hint="eastAsia" w:ascii="仿宋" w:hAnsi="仿宋" w:eastAsia="仿宋" w:cs="仿宋"/>
          <w:kern w:val="0"/>
          <w:sz w:val="32"/>
          <w:szCs w:val="32"/>
          <w:shd w:val="clear" w:color="auto" w:fill="FFFFFF"/>
          <w:lang w:eastAsia="zh-CN"/>
        </w:rPr>
        <w:t>的规划用地性质</w:t>
      </w:r>
      <w:r>
        <w:rPr>
          <w:rFonts w:hint="eastAsia" w:ascii="仿宋" w:hAnsi="仿宋" w:eastAsia="仿宋" w:cs="仿宋"/>
          <w:kern w:val="0"/>
          <w:sz w:val="32"/>
          <w:szCs w:val="32"/>
          <w:shd w:val="clear" w:color="auto" w:fill="FFFFFF"/>
        </w:rPr>
        <w:t>由城镇住宅/商业混合用地（0701/0901）修改为高等教育用地（080401）</w:t>
      </w:r>
      <w:r>
        <w:rPr>
          <w:rFonts w:hint="eastAsia" w:ascii="仿宋" w:hAnsi="仿宋" w:eastAsia="仿宋" w:cs="仿宋"/>
          <w:kern w:val="0"/>
          <w:sz w:val="32"/>
          <w:szCs w:val="32"/>
          <w:shd w:val="clear" w:color="auto" w:fill="FFFFFF"/>
          <w:lang w:eastAsia="zh-CN"/>
        </w:rPr>
        <w:t>；</w:t>
      </w:r>
      <w:r>
        <w:rPr>
          <w:rFonts w:hint="eastAsia" w:ascii="仿宋" w:hAnsi="仿宋" w:eastAsia="仿宋" w:cs="仿宋"/>
          <w:kern w:val="0"/>
          <w:sz w:val="32"/>
          <w:szCs w:val="32"/>
          <w:shd w:val="clear" w:color="auto" w:fill="FFFFFF"/>
        </w:rPr>
        <w:t>H-21-7地块的</w:t>
      </w:r>
      <w:r>
        <w:rPr>
          <w:rFonts w:hint="eastAsia" w:ascii="仿宋" w:hAnsi="仿宋" w:eastAsia="仿宋" w:cs="仿宋"/>
          <w:kern w:val="0"/>
          <w:sz w:val="32"/>
          <w:szCs w:val="32"/>
          <w:shd w:val="clear" w:color="auto" w:fill="FFFFFF"/>
          <w:lang w:eastAsia="zh-CN"/>
        </w:rPr>
        <w:t>规划</w:t>
      </w:r>
      <w:r>
        <w:rPr>
          <w:rFonts w:hint="eastAsia" w:ascii="仿宋" w:hAnsi="仿宋" w:eastAsia="仿宋" w:cs="仿宋"/>
          <w:kern w:val="0"/>
          <w:sz w:val="32"/>
          <w:szCs w:val="32"/>
          <w:shd w:val="clear" w:color="auto" w:fill="FFFFFF"/>
        </w:rPr>
        <w:t>用地性质由零售商业用地（090101）修改为高等教育用地（080401）。</w:t>
      </w:r>
    </w:p>
    <w:p>
      <w:pPr>
        <w:pStyle w:val="8"/>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lang w:val="en-US" w:eastAsia="zh-CN"/>
        </w:rPr>
        <w:t>2.修改</w:t>
      </w:r>
      <w:r>
        <w:rPr>
          <w:rFonts w:hint="eastAsia" w:ascii="仿宋" w:hAnsi="仿宋" w:eastAsia="仿宋" w:cs="仿宋"/>
          <w:kern w:val="0"/>
          <w:sz w:val="32"/>
          <w:szCs w:val="32"/>
          <w:shd w:val="clear" w:color="auto" w:fill="FFFFFF"/>
        </w:rPr>
        <w:t>后的教育用地与H-21-</w:t>
      </w:r>
      <w:r>
        <w:rPr>
          <w:rFonts w:hint="eastAsia" w:ascii="仿宋" w:hAnsi="仿宋" w:eastAsia="仿宋" w:cs="仿宋"/>
          <w:kern w:val="0"/>
          <w:sz w:val="32"/>
          <w:szCs w:val="32"/>
          <w:shd w:val="clear" w:color="auto" w:fill="FFFFFF"/>
          <w:lang w:val="en-US" w:eastAsia="zh-CN"/>
        </w:rPr>
        <w:t>5</w:t>
      </w:r>
      <w:r>
        <w:rPr>
          <w:rFonts w:hint="eastAsia" w:ascii="仿宋" w:hAnsi="仿宋" w:eastAsia="仿宋" w:cs="仿宋"/>
          <w:kern w:val="0"/>
          <w:sz w:val="32"/>
          <w:szCs w:val="32"/>
          <w:shd w:val="clear" w:color="auto" w:fill="FFFFFF"/>
        </w:rPr>
        <w:t>地块合并成一个地块，地块编码为：H-21-5</w:t>
      </w:r>
      <w:r>
        <w:rPr>
          <w:rFonts w:hint="eastAsia" w:ascii="仿宋" w:hAnsi="仿宋" w:eastAsia="仿宋" w:cs="仿宋"/>
          <w:kern w:val="0"/>
          <w:sz w:val="32"/>
          <w:szCs w:val="32"/>
          <w:shd w:val="clear" w:color="auto" w:fill="FFFFFF"/>
          <w:lang w:eastAsia="zh-CN"/>
        </w:rPr>
        <w:t>，</w:t>
      </w:r>
      <w:r>
        <w:rPr>
          <w:rFonts w:hint="eastAsia" w:ascii="仿宋" w:hAnsi="仿宋" w:eastAsia="仿宋" w:cs="仿宋"/>
          <w:kern w:val="0"/>
          <w:sz w:val="32"/>
          <w:szCs w:val="32"/>
          <w:shd w:val="clear" w:color="auto" w:fill="FFFFFF"/>
        </w:rPr>
        <w:t>地块面积为330180</w:t>
      </w:r>
      <w:r>
        <w:rPr>
          <w:rFonts w:hint="eastAsia" w:ascii="仿宋" w:hAnsi="仿宋" w:eastAsia="仿宋" w:cs="仿宋"/>
          <w:kern w:val="0"/>
          <w:sz w:val="32"/>
          <w:szCs w:val="32"/>
          <w:shd w:val="clear" w:color="auto" w:fill="FFFFFF"/>
          <w:lang w:eastAsia="zh-CN"/>
        </w:rPr>
        <w:t>平方米</w:t>
      </w:r>
      <w:r>
        <w:rPr>
          <w:rFonts w:hint="eastAsia" w:ascii="仿宋" w:hAnsi="仿宋" w:eastAsia="仿宋" w:cs="仿宋"/>
          <w:kern w:val="0"/>
          <w:sz w:val="32"/>
          <w:szCs w:val="32"/>
          <w:shd w:val="clear" w:color="auto" w:fill="FFFFFF"/>
        </w:rPr>
        <w:t>，用地性质为高等教育用地（080401），规划控制指标为容积率≤1.2、建筑密度≤</w:t>
      </w:r>
      <w:r>
        <w:rPr>
          <w:rFonts w:hint="eastAsia" w:ascii="仿宋" w:hAnsi="仿宋" w:eastAsia="仿宋" w:cs="仿宋"/>
          <w:kern w:val="0"/>
          <w:sz w:val="32"/>
          <w:szCs w:val="32"/>
          <w:shd w:val="clear" w:color="auto" w:fill="FFFFFF"/>
          <w:lang w:val="en-US" w:eastAsia="zh-CN"/>
        </w:rPr>
        <w:t>30</w:t>
      </w:r>
      <w:r>
        <w:rPr>
          <w:rFonts w:hint="eastAsia" w:ascii="仿宋" w:hAnsi="仿宋" w:eastAsia="仿宋" w:cs="仿宋"/>
          <w:kern w:val="0"/>
          <w:sz w:val="32"/>
          <w:szCs w:val="32"/>
          <w:shd w:val="clear" w:color="auto" w:fill="FFFFFF"/>
        </w:rPr>
        <w:t>%、建筑限高≤4</w:t>
      </w:r>
      <w:r>
        <w:rPr>
          <w:rFonts w:hint="eastAsia" w:ascii="仿宋" w:hAnsi="仿宋" w:eastAsia="仿宋" w:cs="仿宋"/>
          <w:kern w:val="0"/>
          <w:sz w:val="32"/>
          <w:szCs w:val="32"/>
          <w:shd w:val="clear" w:color="auto" w:fill="FFFFFF"/>
          <w:lang w:val="en-US" w:eastAsia="zh-CN"/>
        </w:rPr>
        <w:t>5</w:t>
      </w:r>
      <w:r>
        <w:rPr>
          <w:rFonts w:hint="eastAsia" w:ascii="仿宋" w:hAnsi="仿宋" w:eastAsia="仿宋" w:cs="仿宋"/>
          <w:kern w:val="0"/>
          <w:sz w:val="32"/>
          <w:szCs w:val="32"/>
          <w:shd w:val="clear" w:color="auto" w:fill="FFFFFF"/>
          <w:lang w:eastAsia="zh-CN"/>
        </w:rPr>
        <w:t>米</w:t>
      </w:r>
      <w:r>
        <w:rPr>
          <w:rFonts w:hint="eastAsia" w:ascii="仿宋" w:hAnsi="仿宋" w:eastAsia="仿宋" w:cs="仿宋"/>
          <w:kern w:val="0"/>
          <w:sz w:val="32"/>
          <w:szCs w:val="32"/>
          <w:shd w:val="clear" w:color="auto" w:fill="FFFFFF"/>
        </w:rPr>
        <w:t>、绿地率≥40%。</w:t>
      </w:r>
    </w:p>
    <w:p>
      <w:pPr>
        <w:pStyle w:val="8"/>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lang w:val="en-US" w:eastAsia="zh-CN"/>
        </w:rPr>
        <w:t>3.</w:t>
      </w:r>
      <w:r>
        <w:rPr>
          <w:rFonts w:hint="eastAsia" w:ascii="仿宋" w:hAnsi="仿宋" w:eastAsia="仿宋" w:cs="仿宋"/>
          <w:kern w:val="0"/>
          <w:sz w:val="32"/>
          <w:szCs w:val="32"/>
          <w:shd w:val="clear" w:color="auto" w:fill="FFFFFF"/>
        </w:rPr>
        <w:t>H-21-4地块</w:t>
      </w:r>
      <w:r>
        <w:rPr>
          <w:rFonts w:hint="eastAsia" w:ascii="仿宋" w:hAnsi="仿宋" w:eastAsia="仿宋" w:cs="仿宋"/>
          <w:kern w:val="0"/>
          <w:sz w:val="32"/>
          <w:szCs w:val="32"/>
          <w:shd w:val="clear" w:color="auto" w:fill="FFFFFF"/>
          <w:lang w:eastAsia="zh-CN"/>
        </w:rPr>
        <w:t>用地</w:t>
      </w:r>
      <w:r>
        <w:rPr>
          <w:rFonts w:hint="eastAsia" w:ascii="仿宋" w:hAnsi="仿宋" w:eastAsia="仿宋" w:cs="仿宋"/>
          <w:kern w:val="0"/>
          <w:sz w:val="32"/>
          <w:szCs w:val="32"/>
          <w:shd w:val="clear" w:color="auto" w:fill="FFFFFF"/>
        </w:rPr>
        <w:t>面积</w:t>
      </w:r>
      <w:r>
        <w:rPr>
          <w:rFonts w:hint="eastAsia" w:ascii="仿宋" w:hAnsi="仿宋" w:eastAsia="仿宋" w:cs="仿宋"/>
          <w:kern w:val="0"/>
          <w:sz w:val="32"/>
          <w:szCs w:val="32"/>
          <w:shd w:val="clear" w:color="auto" w:fill="FFFFFF"/>
          <w:lang w:eastAsia="zh-CN"/>
        </w:rPr>
        <w:t>修改为</w:t>
      </w:r>
      <w:r>
        <w:rPr>
          <w:rFonts w:hint="eastAsia" w:ascii="仿宋" w:hAnsi="仿宋" w:eastAsia="仿宋" w:cs="仿宋"/>
          <w:kern w:val="0"/>
          <w:sz w:val="32"/>
          <w:szCs w:val="32"/>
          <w:shd w:val="clear" w:color="auto" w:fill="FFFFFF"/>
        </w:rPr>
        <w:t>47873</w:t>
      </w:r>
      <w:r>
        <w:rPr>
          <w:rFonts w:hint="eastAsia" w:ascii="仿宋" w:hAnsi="仿宋" w:eastAsia="仿宋" w:cs="仿宋"/>
          <w:kern w:val="0"/>
          <w:sz w:val="32"/>
          <w:szCs w:val="32"/>
          <w:shd w:val="clear" w:color="auto" w:fill="FFFFFF"/>
          <w:lang w:eastAsia="zh-CN"/>
        </w:rPr>
        <w:t>平方米，规划用地性质和规划控制指标保持不变，即规划用地性质为</w:t>
      </w:r>
      <w:r>
        <w:rPr>
          <w:rFonts w:hint="eastAsia" w:ascii="仿宋" w:hAnsi="仿宋" w:eastAsia="仿宋" w:cs="仿宋"/>
          <w:kern w:val="0"/>
          <w:sz w:val="32"/>
          <w:szCs w:val="32"/>
          <w:shd w:val="clear" w:color="auto" w:fill="FFFFFF"/>
        </w:rPr>
        <w:t>城镇住宅/商业混合用地（0701/0901）</w:t>
      </w:r>
      <w:r>
        <w:rPr>
          <w:rFonts w:hint="eastAsia" w:ascii="仿宋" w:hAnsi="仿宋" w:eastAsia="仿宋" w:cs="仿宋"/>
          <w:kern w:val="0"/>
          <w:sz w:val="32"/>
          <w:szCs w:val="32"/>
          <w:shd w:val="clear" w:color="auto" w:fill="FFFFFF"/>
          <w:lang w:eastAsia="zh-CN"/>
        </w:rPr>
        <w:t>，</w:t>
      </w:r>
      <w:r>
        <w:rPr>
          <w:rFonts w:hint="eastAsia" w:ascii="仿宋" w:hAnsi="仿宋" w:eastAsia="仿宋" w:cs="仿宋"/>
          <w:kern w:val="0"/>
          <w:sz w:val="32"/>
          <w:szCs w:val="32"/>
          <w:shd w:val="clear" w:color="auto" w:fill="FFFFFF"/>
        </w:rPr>
        <w:t>规划控制指标为容积率≤2.0、建筑密度≤30%、建筑限高≤45</w:t>
      </w:r>
      <w:r>
        <w:rPr>
          <w:rFonts w:hint="eastAsia" w:ascii="仿宋" w:hAnsi="仿宋" w:eastAsia="仿宋" w:cs="仿宋"/>
          <w:kern w:val="0"/>
          <w:sz w:val="32"/>
          <w:szCs w:val="32"/>
          <w:shd w:val="clear" w:color="auto" w:fill="FFFFFF"/>
          <w:lang w:eastAsia="zh-CN"/>
        </w:rPr>
        <w:t>米</w:t>
      </w:r>
      <w:r>
        <w:rPr>
          <w:rFonts w:hint="eastAsia" w:ascii="仿宋" w:hAnsi="仿宋" w:eastAsia="仿宋" w:cs="仿宋"/>
          <w:kern w:val="0"/>
          <w:sz w:val="32"/>
          <w:szCs w:val="32"/>
          <w:shd w:val="clear" w:color="auto" w:fill="FFFFFF"/>
        </w:rPr>
        <w:t>、绿地率≥35%</w:t>
      </w:r>
      <w:r>
        <w:rPr>
          <w:rFonts w:hint="eastAsia" w:ascii="仿宋" w:hAnsi="仿宋" w:eastAsia="仿宋" w:cs="仿宋"/>
          <w:kern w:val="0"/>
          <w:sz w:val="32"/>
          <w:szCs w:val="32"/>
          <w:shd w:val="clear" w:color="auto" w:fill="FFFFFF"/>
          <w:lang w:eastAsia="zh-CN"/>
        </w:rPr>
        <w:t>。</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具体结论如下：</w:t>
      </w:r>
    </w:p>
    <w:tbl>
      <w:tblPr>
        <w:tblStyle w:val="5"/>
        <w:tblW w:w="9410" w:type="dxa"/>
        <w:tblCellSpacing w:w="0"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
      <w:tblGrid>
        <w:gridCol w:w="518"/>
        <w:gridCol w:w="1310"/>
        <w:gridCol w:w="1842"/>
        <w:gridCol w:w="1288"/>
        <w:gridCol w:w="964"/>
        <w:gridCol w:w="746"/>
        <w:gridCol w:w="976"/>
        <w:gridCol w:w="915"/>
        <w:gridCol w:w="85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860" w:hRule="atLeast"/>
          <w:tblCellSpacing w:w="0" w:type="dxa"/>
        </w:trPr>
        <w:tc>
          <w:tcPr>
            <w:tcW w:w="518" w:type="dxa"/>
            <w:shd w:val="clear" w:color="auto" w:fill="auto"/>
            <w:tcMar>
              <w:top w:w="72" w:type="dxa"/>
              <w:left w:w="144" w:type="dxa"/>
              <w:bottom w:w="72" w:type="dxa"/>
              <w:right w:w="144" w:type="dxa"/>
            </w:tcMar>
            <w:vAlign w:val="center"/>
          </w:tcPr>
          <w:p>
            <w:pPr>
              <w:pStyle w:val="4"/>
              <w:keepNext w:val="0"/>
              <w:keepLines w:val="0"/>
              <w:widowControl/>
              <w:suppressLineNumbers w:val="0"/>
            </w:pPr>
          </w:p>
        </w:tc>
        <w:tc>
          <w:tcPr>
            <w:tcW w:w="1310" w:type="dxa"/>
            <w:shd w:val="clear" w:color="auto" w:fill="auto"/>
            <w:tcMar>
              <w:top w:w="72" w:type="dxa"/>
              <w:left w:w="144" w:type="dxa"/>
              <w:bottom w:w="72" w:type="dxa"/>
              <w:right w:w="144" w:type="dxa"/>
            </w:tcMar>
            <w:vAlign w:val="center"/>
          </w:tcPr>
          <w:p>
            <w:pPr>
              <w:pStyle w:val="4"/>
              <w:keepNext w:val="0"/>
              <w:keepLines w:val="0"/>
              <w:widowControl/>
              <w:suppressLineNumbers w:val="0"/>
              <w:jc w:val="center"/>
            </w:pPr>
            <w:r>
              <w:rPr>
                <w:rFonts w:hint="eastAsia" w:ascii="宋体" w:hAnsi="宋体" w:eastAsia="宋体" w:cs="宋体"/>
                <w:b/>
                <w:color w:val="000000"/>
                <w:sz w:val="22"/>
                <w:szCs w:val="22"/>
              </w:rPr>
              <w:t>用地编码</w:t>
            </w:r>
          </w:p>
        </w:tc>
        <w:tc>
          <w:tcPr>
            <w:tcW w:w="1842" w:type="dxa"/>
            <w:shd w:val="clear" w:color="auto" w:fill="auto"/>
            <w:tcMar>
              <w:top w:w="72" w:type="dxa"/>
              <w:left w:w="144" w:type="dxa"/>
              <w:bottom w:w="72" w:type="dxa"/>
              <w:right w:w="144" w:type="dxa"/>
            </w:tcMar>
            <w:vAlign w:val="center"/>
          </w:tcPr>
          <w:p>
            <w:pPr>
              <w:pStyle w:val="4"/>
              <w:keepNext w:val="0"/>
              <w:keepLines w:val="0"/>
              <w:widowControl/>
              <w:suppressLineNumbers w:val="0"/>
              <w:jc w:val="center"/>
            </w:pPr>
            <w:r>
              <w:rPr>
                <w:rFonts w:hint="eastAsia" w:ascii="宋体" w:hAnsi="宋体" w:eastAsia="宋体" w:cs="宋体"/>
                <w:b/>
                <w:color w:val="000000"/>
                <w:sz w:val="22"/>
                <w:szCs w:val="22"/>
              </w:rPr>
              <w:t>用地性质</w:t>
            </w:r>
          </w:p>
        </w:tc>
        <w:tc>
          <w:tcPr>
            <w:tcW w:w="1288" w:type="dxa"/>
            <w:shd w:val="clear" w:color="auto" w:fill="auto"/>
            <w:tcMar>
              <w:top w:w="72" w:type="dxa"/>
              <w:left w:w="144" w:type="dxa"/>
              <w:bottom w:w="72" w:type="dxa"/>
              <w:right w:w="144" w:type="dxa"/>
            </w:tcMar>
            <w:vAlign w:val="center"/>
          </w:tcPr>
          <w:p>
            <w:pPr>
              <w:pStyle w:val="4"/>
              <w:keepNext w:val="0"/>
              <w:keepLines w:val="0"/>
              <w:widowControl/>
              <w:suppressLineNumbers w:val="0"/>
              <w:jc w:val="center"/>
            </w:pPr>
            <w:r>
              <w:rPr>
                <w:rFonts w:hint="eastAsia" w:ascii="宋体" w:hAnsi="宋体" w:eastAsia="宋体" w:cs="宋体"/>
                <w:b/>
                <w:color w:val="000000"/>
                <w:sz w:val="22"/>
                <w:szCs w:val="22"/>
              </w:rPr>
              <w:t>用地代码</w:t>
            </w:r>
          </w:p>
        </w:tc>
        <w:tc>
          <w:tcPr>
            <w:tcW w:w="964" w:type="dxa"/>
            <w:shd w:val="clear" w:color="auto" w:fill="auto"/>
            <w:tcMar>
              <w:top w:w="72" w:type="dxa"/>
              <w:left w:w="144" w:type="dxa"/>
              <w:bottom w:w="72" w:type="dxa"/>
              <w:right w:w="144" w:type="dxa"/>
            </w:tcMar>
            <w:vAlign w:val="center"/>
          </w:tcPr>
          <w:p>
            <w:pPr>
              <w:pStyle w:val="4"/>
              <w:keepNext w:val="0"/>
              <w:keepLines w:val="0"/>
              <w:widowControl/>
              <w:suppressLineNumbers w:val="0"/>
              <w:jc w:val="center"/>
            </w:pPr>
            <w:r>
              <w:rPr>
                <w:rFonts w:hint="eastAsia" w:ascii="宋体" w:hAnsi="宋体" w:eastAsia="宋体" w:cs="宋体"/>
                <w:b/>
                <w:color w:val="000000"/>
                <w:sz w:val="22"/>
                <w:szCs w:val="22"/>
              </w:rPr>
              <w:t>用地面积（㎡）</w:t>
            </w:r>
          </w:p>
        </w:tc>
        <w:tc>
          <w:tcPr>
            <w:tcW w:w="746" w:type="dxa"/>
            <w:shd w:val="clear" w:color="auto" w:fill="auto"/>
            <w:tcMar>
              <w:top w:w="72" w:type="dxa"/>
              <w:left w:w="144" w:type="dxa"/>
              <w:bottom w:w="72" w:type="dxa"/>
              <w:right w:w="144" w:type="dxa"/>
            </w:tcMar>
            <w:vAlign w:val="center"/>
          </w:tcPr>
          <w:p>
            <w:pPr>
              <w:pStyle w:val="4"/>
              <w:keepNext w:val="0"/>
              <w:keepLines w:val="0"/>
              <w:widowControl/>
              <w:suppressLineNumbers w:val="0"/>
              <w:jc w:val="center"/>
            </w:pPr>
            <w:r>
              <w:rPr>
                <w:rFonts w:hint="eastAsia" w:ascii="宋体" w:hAnsi="宋体" w:eastAsia="宋体" w:cs="宋体"/>
                <w:b/>
                <w:color w:val="000000"/>
                <w:sz w:val="22"/>
                <w:szCs w:val="22"/>
              </w:rPr>
              <w:t>容积率≤</w:t>
            </w:r>
          </w:p>
        </w:tc>
        <w:tc>
          <w:tcPr>
            <w:tcW w:w="976" w:type="dxa"/>
            <w:shd w:val="clear" w:color="auto" w:fill="auto"/>
            <w:tcMar>
              <w:top w:w="72" w:type="dxa"/>
              <w:left w:w="144" w:type="dxa"/>
              <w:bottom w:w="72" w:type="dxa"/>
              <w:right w:w="144" w:type="dxa"/>
            </w:tcMar>
            <w:vAlign w:val="center"/>
          </w:tcPr>
          <w:p>
            <w:pPr>
              <w:pStyle w:val="4"/>
              <w:keepNext w:val="0"/>
              <w:keepLines w:val="0"/>
              <w:widowControl/>
              <w:suppressLineNumbers w:val="0"/>
              <w:jc w:val="center"/>
            </w:pPr>
            <w:r>
              <w:rPr>
                <w:rFonts w:hint="eastAsia" w:ascii="宋体" w:hAnsi="宋体" w:eastAsia="宋体" w:cs="宋体"/>
                <w:b/>
                <w:color w:val="000000"/>
                <w:sz w:val="22"/>
                <w:szCs w:val="22"/>
              </w:rPr>
              <w:t>建筑密度≤（%）</w:t>
            </w:r>
          </w:p>
        </w:tc>
        <w:tc>
          <w:tcPr>
            <w:tcW w:w="915" w:type="dxa"/>
            <w:shd w:val="clear" w:color="auto" w:fill="auto"/>
            <w:tcMar>
              <w:top w:w="72" w:type="dxa"/>
              <w:left w:w="144" w:type="dxa"/>
              <w:bottom w:w="72" w:type="dxa"/>
              <w:right w:w="144" w:type="dxa"/>
            </w:tcMar>
            <w:vAlign w:val="center"/>
          </w:tcPr>
          <w:p>
            <w:pPr>
              <w:pStyle w:val="4"/>
              <w:keepNext w:val="0"/>
              <w:keepLines w:val="0"/>
              <w:widowControl/>
              <w:suppressLineNumbers w:val="0"/>
              <w:jc w:val="center"/>
            </w:pPr>
            <w:r>
              <w:rPr>
                <w:rFonts w:hint="eastAsia" w:ascii="宋体" w:hAnsi="宋体" w:eastAsia="宋体" w:cs="宋体"/>
                <w:b/>
                <w:color w:val="000000"/>
                <w:sz w:val="22"/>
                <w:szCs w:val="22"/>
              </w:rPr>
              <w:t>建筑限高≤（m）</w:t>
            </w:r>
          </w:p>
        </w:tc>
        <w:tc>
          <w:tcPr>
            <w:tcW w:w="851" w:type="dxa"/>
            <w:shd w:val="clear" w:color="auto" w:fill="auto"/>
            <w:tcMar>
              <w:top w:w="72" w:type="dxa"/>
              <w:left w:w="144" w:type="dxa"/>
              <w:bottom w:w="72" w:type="dxa"/>
              <w:right w:w="144" w:type="dxa"/>
            </w:tcMar>
            <w:vAlign w:val="center"/>
          </w:tcPr>
          <w:p>
            <w:pPr>
              <w:pStyle w:val="4"/>
              <w:keepNext w:val="0"/>
              <w:keepLines w:val="0"/>
              <w:widowControl/>
              <w:suppressLineNumbers w:val="0"/>
              <w:jc w:val="center"/>
            </w:pPr>
            <w:r>
              <w:rPr>
                <w:rFonts w:hint="eastAsia" w:ascii="宋体" w:hAnsi="宋体" w:eastAsia="宋体" w:cs="宋体"/>
                <w:b/>
                <w:color w:val="000000"/>
                <w:sz w:val="22"/>
                <w:szCs w:val="22"/>
              </w:rPr>
              <w:t>绿地率≥（%）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80" w:hRule="atLeast"/>
          <w:tblCellSpacing w:w="0" w:type="dxa"/>
        </w:trPr>
        <w:tc>
          <w:tcPr>
            <w:tcW w:w="518" w:type="dxa"/>
            <w:vMerge w:val="restart"/>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修改前</w:t>
            </w:r>
          </w:p>
        </w:tc>
        <w:tc>
          <w:tcPr>
            <w:tcW w:w="1310"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H-21-4</w:t>
            </w:r>
          </w:p>
        </w:tc>
        <w:tc>
          <w:tcPr>
            <w:tcW w:w="1842"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城镇住宅/商业混合用地</w:t>
            </w:r>
          </w:p>
        </w:tc>
        <w:tc>
          <w:tcPr>
            <w:tcW w:w="1288"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0701/0901</w:t>
            </w:r>
          </w:p>
        </w:tc>
        <w:tc>
          <w:tcPr>
            <w:tcW w:w="964"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72018</w:t>
            </w:r>
          </w:p>
        </w:tc>
        <w:tc>
          <w:tcPr>
            <w:tcW w:w="74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2.0</w:t>
            </w:r>
          </w:p>
        </w:tc>
        <w:tc>
          <w:tcPr>
            <w:tcW w:w="97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30</w:t>
            </w:r>
          </w:p>
        </w:tc>
        <w:tc>
          <w:tcPr>
            <w:tcW w:w="915"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45</w:t>
            </w:r>
          </w:p>
        </w:tc>
        <w:tc>
          <w:tcPr>
            <w:tcW w:w="851"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80" w:hRule="atLeast"/>
          <w:tblCellSpacing w:w="0" w:type="dxa"/>
        </w:trPr>
        <w:tc>
          <w:tcPr>
            <w:tcW w:w="518" w:type="dxa"/>
            <w:vMerge w:val="continue"/>
            <w:shd w:val="clear" w:color="auto" w:fill="auto"/>
            <w:tcMar>
              <w:top w:w="72" w:type="dxa"/>
              <w:left w:w="144" w:type="dxa"/>
              <w:bottom w:w="72" w:type="dxa"/>
              <w:right w:w="144" w:type="dxa"/>
            </w:tcMar>
            <w:vAlign w:val="center"/>
          </w:tcPr>
          <w:p>
            <w:pPr>
              <w:rPr>
                <w:rFonts w:hint="eastAsia" w:ascii="宋体"/>
                <w:sz w:val="24"/>
                <w:szCs w:val="24"/>
              </w:rPr>
            </w:pPr>
          </w:p>
        </w:tc>
        <w:tc>
          <w:tcPr>
            <w:tcW w:w="1310"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H-21-5</w:t>
            </w:r>
          </w:p>
        </w:tc>
        <w:tc>
          <w:tcPr>
            <w:tcW w:w="1842"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高等教育用地</w:t>
            </w:r>
          </w:p>
        </w:tc>
        <w:tc>
          <w:tcPr>
            <w:tcW w:w="1288"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080401</w:t>
            </w:r>
          </w:p>
        </w:tc>
        <w:tc>
          <w:tcPr>
            <w:tcW w:w="964"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295692</w:t>
            </w:r>
          </w:p>
        </w:tc>
        <w:tc>
          <w:tcPr>
            <w:tcW w:w="74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1.2</w:t>
            </w:r>
          </w:p>
        </w:tc>
        <w:tc>
          <w:tcPr>
            <w:tcW w:w="97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25</w:t>
            </w:r>
          </w:p>
        </w:tc>
        <w:tc>
          <w:tcPr>
            <w:tcW w:w="915"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40</w:t>
            </w:r>
          </w:p>
        </w:tc>
        <w:tc>
          <w:tcPr>
            <w:tcW w:w="851"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80" w:hRule="atLeast"/>
          <w:tblCellSpacing w:w="0" w:type="dxa"/>
        </w:trPr>
        <w:tc>
          <w:tcPr>
            <w:tcW w:w="518" w:type="dxa"/>
            <w:vMerge w:val="continue"/>
            <w:shd w:val="clear" w:color="auto" w:fill="auto"/>
            <w:tcMar>
              <w:top w:w="72" w:type="dxa"/>
              <w:left w:w="144" w:type="dxa"/>
              <w:bottom w:w="72" w:type="dxa"/>
              <w:right w:w="144" w:type="dxa"/>
            </w:tcMar>
            <w:vAlign w:val="center"/>
          </w:tcPr>
          <w:p>
            <w:pPr>
              <w:rPr>
                <w:rFonts w:hint="eastAsia" w:ascii="宋体"/>
                <w:sz w:val="24"/>
                <w:szCs w:val="24"/>
              </w:rPr>
            </w:pPr>
          </w:p>
        </w:tc>
        <w:tc>
          <w:tcPr>
            <w:tcW w:w="1310"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H-21-7</w:t>
            </w:r>
          </w:p>
        </w:tc>
        <w:tc>
          <w:tcPr>
            <w:tcW w:w="1842"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零售商业用地</w:t>
            </w:r>
          </w:p>
        </w:tc>
        <w:tc>
          <w:tcPr>
            <w:tcW w:w="1288"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090101</w:t>
            </w:r>
          </w:p>
        </w:tc>
        <w:tc>
          <w:tcPr>
            <w:tcW w:w="964"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10343</w:t>
            </w:r>
          </w:p>
        </w:tc>
        <w:tc>
          <w:tcPr>
            <w:tcW w:w="74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2.0</w:t>
            </w:r>
          </w:p>
        </w:tc>
        <w:tc>
          <w:tcPr>
            <w:tcW w:w="97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40</w:t>
            </w:r>
          </w:p>
        </w:tc>
        <w:tc>
          <w:tcPr>
            <w:tcW w:w="915"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24</w:t>
            </w:r>
          </w:p>
        </w:tc>
        <w:tc>
          <w:tcPr>
            <w:tcW w:w="851"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80" w:hRule="atLeast"/>
          <w:tblCellSpacing w:w="0" w:type="dxa"/>
        </w:trPr>
        <w:tc>
          <w:tcPr>
            <w:tcW w:w="4958" w:type="dxa"/>
            <w:gridSpan w:val="4"/>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b/>
                <w:color w:val="000000"/>
                <w:sz w:val="22"/>
                <w:szCs w:val="22"/>
              </w:rPr>
              <w:t>合计</w:t>
            </w:r>
          </w:p>
        </w:tc>
        <w:tc>
          <w:tcPr>
            <w:tcW w:w="964"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b/>
                <w:color w:val="000000"/>
                <w:sz w:val="22"/>
                <w:szCs w:val="22"/>
              </w:rPr>
              <w:t>378053</w:t>
            </w:r>
          </w:p>
        </w:tc>
        <w:tc>
          <w:tcPr>
            <w:tcW w:w="746" w:type="dxa"/>
            <w:shd w:val="clear" w:color="auto" w:fill="auto"/>
            <w:tcMar>
              <w:top w:w="72" w:type="dxa"/>
              <w:left w:w="144" w:type="dxa"/>
              <w:bottom w:w="72" w:type="dxa"/>
              <w:right w:w="144" w:type="dxa"/>
            </w:tcMar>
            <w:vAlign w:val="center"/>
          </w:tcPr>
          <w:p>
            <w:pPr>
              <w:pStyle w:val="4"/>
              <w:keepNext w:val="0"/>
              <w:keepLines w:val="0"/>
              <w:widowControl/>
              <w:suppressLineNumbers w:val="0"/>
            </w:pPr>
          </w:p>
        </w:tc>
        <w:tc>
          <w:tcPr>
            <w:tcW w:w="976" w:type="dxa"/>
            <w:shd w:val="clear" w:color="auto" w:fill="auto"/>
            <w:tcMar>
              <w:top w:w="72" w:type="dxa"/>
              <w:left w:w="144" w:type="dxa"/>
              <w:bottom w:w="72" w:type="dxa"/>
              <w:right w:w="144" w:type="dxa"/>
            </w:tcMar>
            <w:vAlign w:val="center"/>
          </w:tcPr>
          <w:p>
            <w:pPr>
              <w:pStyle w:val="4"/>
              <w:keepNext w:val="0"/>
              <w:keepLines w:val="0"/>
              <w:widowControl/>
              <w:suppressLineNumbers w:val="0"/>
            </w:pPr>
          </w:p>
        </w:tc>
        <w:tc>
          <w:tcPr>
            <w:tcW w:w="915" w:type="dxa"/>
            <w:shd w:val="clear" w:color="auto" w:fill="auto"/>
            <w:tcMar>
              <w:top w:w="72" w:type="dxa"/>
              <w:left w:w="144" w:type="dxa"/>
              <w:bottom w:w="72" w:type="dxa"/>
              <w:right w:w="144" w:type="dxa"/>
            </w:tcMar>
            <w:vAlign w:val="center"/>
          </w:tcPr>
          <w:p>
            <w:pPr>
              <w:pStyle w:val="4"/>
              <w:keepNext w:val="0"/>
              <w:keepLines w:val="0"/>
              <w:widowControl/>
              <w:suppressLineNumbers w:val="0"/>
            </w:pPr>
          </w:p>
        </w:tc>
        <w:tc>
          <w:tcPr>
            <w:tcW w:w="851" w:type="dxa"/>
            <w:shd w:val="clear" w:color="auto" w:fill="auto"/>
            <w:tcMar>
              <w:top w:w="72" w:type="dxa"/>
              <w:left w:w="144" w:type="dxa"/>
              <w:bottom w:w="72" w:type="dxa"/>
              <w:right w:w="144" w:type="dxa"/>
            </w:tcMar>
            <w:vAlign w:val="center"/>
          </w:tcPr>
          <w:p>
            <w:pPr>
              <w:pStyle w:val="4"/>
              <w:keepNext w:val="0"/>
              <w:keepLines w:val="0"/>
              <w:widowControl/>
              <w:suppressLineNumbers w:val="0"/>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00" w:hRule="atLeast"/>
          <w:tblCellSpacing w:w="0" w:type="dxa"/>
        </w:trPr>
        <w:tc>
          <w:tcPr>
            <w:tcW w:w="518" w:type="dxa"/>
            <w:vMerge w:val="restart"/>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修改后</w:t>
            </w:r>
          </w:p>
        </w:tc>
        <w:tc>
          <w:tcPr>
            <w:tcW w:w="1310"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H-21-4</w:t>
            </w:r>
          </w:p>
        </w:tc>
        <w:tc>
          <w:tcPr>
            <w:tcW w:w="1842"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城镇住宅/商业混合用地</w:t>
            </w:r>
          </w:p>
        </w:tc>
        <w:tc>
          <w:tcPr>
            <w:tcW w:w="1288"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0701/0901</w:t>
            </w:r>
          </w:p>
        </w:tc>
        <w:tc>
          <w:tcPr>
            <w:tcW w:w="964"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47873</w:t>
            </w:r>
          </w:p>
        </w:tc>
        <w:tc>
          <w:tcPr>
            <w:tcW w:w="74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2.0</w:t>
            </w:r>
          </w:p>
        </w:tc>
        <w:tc>
          <w:tcPr>
            <w:tcW w:w="97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30</w:t>
            </w:r>
          </w:p>
        </w:tc>
        <w:tc>
          <w:tcPr>
            <w:tcW w:w="915"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45</w:t>
            </w:r>
          </w:p>
        </w:tc>
        <w:tc>
          <w:tcPr>
            <w:tcW w:w="851"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80" w:hRule="atLeast"/>
          <w:tblCellSpacing w:w="0" w:type="dxa"/>
        </w:trPr>
        <w:tc>
          <w:tcPr>
            <w:tcW w:w="518" w:type="dxa"/>
            <w:vMerge w:val="continue"/>
            <w:shd w:val="clear" w:color="auto" w:fill="auto"/>
            <w:tcMar>
              <w:top w:w="72" w:type="dxa"/>
              <w:left w:w="144" w:type="dxa"/>
              <w:bottom w:w="72" w:type="dxa"/>
              <w:right w:w="144" w:type="dxa"/>
            </w:tcMar>
            <w:vAlign w:val="center"/>
          </w:tcPr>
          <w:p>
            <w:pPr>
              <w:rPr>
                <w:rFonts w:hint="eastAsia" w:ascii="宋体"/>
                <w:sz w:val="24"/>
                <w:szCs w:val="24"/>
              </w:rPr>
            </w:pPr>
          </w:p>
        </w:tc>
        <w:tc>
          <w:tcPr>
            <w:tcW w:w="1310"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H-21-5</w:t>
            </w:r>
          </w:p>
        </w:tc>
        <w:tc>
          <w:tcPr>
            <w:tcW w:w="1842"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高等教育用地</w:t>
            </w:r>
          </w:p>
        </w:tc>
        <w:tc>
          <w:tcPr>
            <w:tcW w:w="1288"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080401</w:t>
            </w:r>
          </w:p>
        </w:tc>
        <w:tc>
          <w:tcPr>
            <w:tcW w:w="964"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330180</w:t>
            </w:r>
          </w:p>
        </w:tc>
        <w:tc>
          <w:tcPr>
            <w:tcW w:w="746"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1.2</w:t>
            </w:r>
          </w:p>
        </w:tc>
        <w:tc>
          <w:tcPr>
            <w:tcW w:w="976" w:type="dxa"/>
            <w:shd w:val="clear" w:color="auto" w:fill="auto"/>
            <w:tcMar>
              <w:top w:w="72" w:type="dxa"/>
              <w:left w:w="144" w:type="dxa"/>
              <w:bottom w:w="72" w:type="dxa"/>
              <w:right w:w="144" w:type="dxa"/>
            </w:tcMar>
            <w:vAlign w:val="center"/>
          </w:tcPr>
          <w:p>
            <w:pPr>
              <w:pStyle w:val="4"/>
              <w:keepNext w:val="0"/>
              <w:keepLines w:val="0"/>
              <w:widowControl/>
              <w:suppressLineNumbers w:val="0"/>
              <w:rPr>
                <w:rFonts w:hint="default" w:eastAsia="宋体"/>
                <w:lang w:val="en-US" w:eastAsia="zh-CN"/>
              </w:rPr>
            </w:pPr>
            <w:r>
              <w:rPr>
                <w:rFonts w:hint="eastAsia" w:ascii="宋体" w:hAnsi="宋体" w:eastAsia="宋体" w:cs="宋体"/>
                <w:color w:val="000000"/>
                <w:sz w:val="22"/>
                <w:szCs w:val="22"/>
                <w:lang w:val="en-US" w:eastAsia="zh-CN"/>
              </w:rPr>
              <w:t>30</w:t>
            </w:r>
          </w:p>
        </w:tc>
        <w:tc>
          <w:tcPr>
            <w:tcW w:w="915" w:type="dxa"/>
            <w:shd w:val="clear" w:color="auto" w:fill="auto"/>
            <w:tcMar>
              <w:top w:w="72" w:type="dxa"/>
              <w:left w:w="144" w:type="dxa"/>
              <w:bottom w:w="72" w:type="dxa"/>
              <w:right w:w="144" w:type="dxa"/>
            </w:tcMar>
            <w:vAlign w:val="center"/>
          </w:tcPr>
          <w:p>
            <w:pPr>
              <w:pStyle w:val="4"/>
              <w:keepNext w:val="0"/>
              <w:keepLines w:val="0"/>
              <w:widowControl/>
              <w:suppressLineNumbers w:val="0"/>
              <w:rPr>
                <w:rFonts w:hint="eastAsia" w:eastAsia="宋体"/>
                <w:lang w:eastAsia="zh-CN"/>
              </w:rPr>
            </w:pPr>
            <w:r>
              <w:rPr>
                <w:rFonts w:hint="eastAsia" w:ascii="宋体" w:hAnsi="宋体" w:eastAsia="宋体" w:cs="宋体"/>
                <w:color w:val="000000"/>
                <w:sz w:val="22"/>
                <w:szCs w:val="22"/>
              </w:rPr>
              <w:t>4</w:t>
            </w:r>
            <w:r>
              <w:rPr>
                <w:rFonts w:hint="eastAsia" w:ascii="宋体" w:hAnsi="宋体" w:eastAsia="宋体" w:cs="宋体"/>
                <w:color w:val="000000"/>
                <w:sz w:val="22"/>
                <w:szCs w:val="22"/>
                <w:lang w:val="en-US" w:eastAsia="zh-CN"/>
              </w:rPr>
              <w:t>5</w:t>
            </w:r>
          </w:p>
        </w:tc>
        <w:tc>
          <w:tcPr>
            <w:tcW w:w="851"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color w:val="000000"/>
                <w:sz w:val="22"/>
                <w:szCs w:val="22"/>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80" w:hRule="atLeast"/>
          <w:tblCellSpacing w:w="0" w:type="dxa"/>
        </w:trPr>
        <w:tc>
          <w:tcPr>
            <w:tcW w:w="4958" w:type="dxa"/>
            <w:gridSpan w:val="4"/>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b/>
                <w:color w:val="000000"/>
                <w:sz w:val="22"/>
                <w:szCs w:val="22"/>
              </w:rPr>
              <w:t>合计</w:t>
            </w:r>
          </w:p>
        </w:tc>
        <w:tc>
          <w:tcPr>
            <w:tcW w:w="964" w:type="dxa"/>
            <w:shd w:val="clear" w:color="auto" w:fill="auto"/>
            <w:tcMar>
              <w:top w:w="72" w:type="dxa"/>
              <w:left w:w="144" w:type="dxa"/>
              <w:bottom w:w="72" w:type="dxa"/>
              <w:right w:w="144" w:type="dxa"/>
            </w:tcMar>
            <w:vAlign w:val="center"/>
          </w:tcPr>
          <w:p>
            <w:pPr>
              <w:pStyle w:val="4"/>
              <w:keepNext w:val="0"/>
              <w:keepLines w:val="0"/>
              <w:widowControl/>
              <w:suppressLineNumbers w:val="0"/>
            </w:pPr>
            <w:r>
              <w:rPr>
                <w:rFonts w:hint="eastAsia" w:ascii="宋体" w:hAnsi="宋体" w:eastAsia="宋体" w:cs="宋体"/>
                <w:b/>
                <w:color w:val="000000"/>
                <w:sz w:val="22"/>
                <w:szCs w:val="22"/>
              </w:rPr>
              <w:t>378053</w:t>
            </w:r>
          </w:p>
        </w:tc>
        <w:tc>
          <w:tcPr>
            <w:tcW w:w="746" w:type="dxa"/>
            <w:shd w:val="clear" w:color="auto" w:fill="auto"/>
            <w:tcMar>
              <w:top w:w="72" w:type="dxa"/>
              <w:left w:w="144" w:type="dxa"/>
              <w:bottom w:w="72" w:type="dxa"/>
              <w:right w:w="144" w:type="dxa"/>
            </w:tcMar>
            <w:vAlign w:val="center"/>
          </w:tcPr>
          <w:p>
            <w:pPr>
              <w:pStyle w:val="4"/>
              <w:keepNext w:val="0"/>
              <w:keepLines w:val="0"/>
              <w:widowControl/>
              <w:suppressLineNumbers w:val="0"/>
            </w:pPr>
          </w:p>
        </w:tc>
        <w:tc>
          <w:tcPr>
            <w:tcW w:w="976" w:type="dxa"/>
            <w:shd w:val="clear" w:color="auto" w:fill="auto"/>
            <w:tcMar>
              <w:top w:w="72" w:type="dxa"/>
              <w:left w:w="144" w:type="dxa"/>
              <w:bottom w:w="72" w:type="dxa"/>
              <w:right w:w="144" w:type="dxa"/>
            </w:tcMar>
            <w:vAlign w:val="center"/>
          </w:tcPr>
          <w:p>
            <w:pPr>
              <w:pStyle w:val="4"/>
              <w:keepNext w:val="0"/>
              <w:keepLines w:val="0"/>
              <w:widowControl/>
              <w:suppressLineNumbers w:val="0"/>
            </w:pPr>
          </w:p>
        </w:tc>
        <w:tc>
          <w:tcPr>
            <w:tcW w:w="915" w:type="dxa"/>
            <w:shd w:val="clear" w:color="auto" w:fill="auto"/>
            <w:tcMar>
              <w:top w:w="72" w:type="dxa"/>
              <w:left w:w="144" w:type="dxa"/>
              <w:bottom w:w="72" w:type="dxa"/>
              <w:right w:w="144" w:type="dxa"/>
            </w:tcMar>
            <w:vAlign w:val="center"/>
          </w:tcPr>
          <w:p>
            <w:pPr>
              <w:pStyle w:val="4"/>
              <w:keepNext w:val="0"/>
              <w:keepLines w:val="0"/>
              <w:widowControl/>
              <w:suppressLineNumbers w:val="0"/>
            </w:pPr>
          </w:p>
        </w:tc>
        <w:tc>
          <w:tcPr>
            <w:tcW w:w="851" w:type="dxa"/>
            <w:shd w:val="clear" w:color="auto" w:fill="auto"/>
            <w:tcMar>
              <w:top w:w="72" w:type="dxa"/>
              <w:left w:w="144" w:type="dxa"/>
              <w:bottom w:w="72" w:type="dxa"/>
              <w:right w:w="144" w:type="dxa"/>
            </w:tcMar>
            <w:vAlign w:val="center"/>
          </w:tcPr>
          <w:p>
            <w:pPr>
              <w:pStyle w:val="4"/>
              <w:keepNext w:val="0"/>
              <w:keepLines w:val="0"/>
              <w:widowControl/>
              <w:suppressLineNumbers w:val="0"/>
            </w:pPr>
          </w:p>
        </w:tc>
      </w:tr>
    </w:tbl>
    <w:p>
      <w:pPr>
        <w:pStyle w:val="8"/>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kern w:val="0"/>
          <w:sz w:val="32"/>
          <w:szCs w:val="32"/>
          <w:shd w:val="clear" w:color="auto" w:fill="FFFFFF"/>
          <w:lang w:val="en-US" w:eastAsia="zh-CN"/>
        </w:rPr>
      </w:pPr>
    </w:p>
    <w:tbl>
      <w:tblPr>
        <w:tblStyle w:val="6"/>
        <w:tblpPr w:leftFromText="180" w:rightFromText="180" w:vertAnchor="text" w:tblpX="10551" w:tblpY="-3270"/>
        <w:tblOverlap w:val="never"/>
        <w:tblW w:w="1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 w:hRule="atLeast"/>
        </w:trPr>
        <w:tc>
          <w:tcPr>
            <w:tcW w:w="1018" w:type="dxa"/>
          </w:tcPr>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32"/>
                <w:szCs w:val="32"/>
                <w:shd w:val="clear" w:color="auto" w:fill="FFFFFF"/>
                <w:vertAlign w:val="baseline"/>
              </w:rPr>
            </w:pPr>
          </w:p>
        </w:tc>
      </w:tr>
    </w:tbl>
    <w:p>
      <w:pPr>
        <w:bidi w:val="0"/>
        <w:rPr>
          <w:rFonts w:hint="eastAsia"/>
        </w:rPr>
        <w:sectPr>
          <w:headerReference r:id="rId4" w:type="default"/>
          <w:pgSz w:w="12240" w:h="15839"/>
          <w:pgMar w:top="1440" w:right="1321" w:bottom="1440" w:left="1797" w:header="851" w:footer="992" w:gutter="0"/>
          <w:pgBorders>
            <w:top w:val="none" w:sz="0" w:space="0"/>
            <w:left w:val="none" w:sz="0" w:space="0"/>
            <w:bottom w:val="none" w:sz="0" w:space="0"/>
            <w:right w:val="none" w:sz="0" w:space="0"/>
          </w:pgBorders>
          <w:cols w:space="425" w:num="1"/>
          <w:docGrid w:type="lines" w:linePitch="312" w:charSpace="0"/>
        </w:sectPr>
      </w:pPr>
    </w:p>
    <w:p>
      <w:pPr>
        <w:pStyle w:val="8"/>
        <w:keepNext w:val="0"/>
        <w:keepLines w:val="0"/>
        <w:pageBreakBefore w:val="0"/>
        <w:widowControl w:val="0"/>
        <w:numPr>
          <w:ilvl w:val="0"/>
          <w:numId w:val="1"/>
        </w:numPr>
        <w:kinsoku/>
        <w:wordWrap/>
        <w:overflowPunct/>
        <w:topLinePunct w:val="0"/>
        <w:autoSpaceDE/>
        <w:autoSpaceDN/>
        <w:bidi w:val="0"/>
        <w:adjustRightInd/>
        <w:spacing w:line="460" w:lineRule="exact"/>
        <w:ind w:firstLine="0" w:firstLineChars="0"/>
        <w:textAlignment w:val="auto"/>
        <w:outlineLvl w:val="0"/>
        <w:rPr>
          <w:rFonts w:hint="eastAsia" w:ascii="仿宋" w:hAnsi="仿宋" w:eastAsia="仿宋"/>
          <w:b/>
          <w:sz w:val="32"/>
          <w:szCs w:val="32"/>
        </w:rPr>
      </w:pPr>
      <w:r>
        <w:rPr>
          <w:rFonts w:hint="eastAsia" w:ascii="仿宋" w:hAnsi="仿宋" w:eastAsia="仿宋"/>
          <w:b/>
          <w:sz w:val="32"/>
          <w:szCs w:val="32"/>
          <w:lang w:val="en-US" w:eastAsia="zh-CN"/>
        </w:rPr>
        <w:t>相关</w:t>
      </w:r>
      <w:r>
        <w:rPr>
          <w:rFonts w:hint="eastAsia" w:ascii="仿宋" w:hAnsi="仿宋" w:eastAsia="仿宋"/>
          <w:b/>
          <w:sz w:val="32"/>
          <w:szCs w:val="32"/>
        </w:rPr>
        <w:t>图纸</w:t>
      </w:r>
    </w:p>
    <w:p>
      <w:pPr>
        <w:pStyle w:val="8"/>
        <w:keepNext w:val="0"/>
        <w:keepLines w:val="0"/>
        <w:pageBreakBefore w:val="0"/>
        <w:widowControl w:val="0"/>
        <w:numPr>
          <w:numId w:val="0"/>
        </w:numPr>
        <w:kinsoku/>
        <w:wordWrap/>
        <w:overflowPunct/>
        <w:topLinePunct w:val="0"/>
        <w:autoSpaceDE/>
        <w:autoSpaceDN/>
        <w:bidi w:val="0"/>
        <w:adjustRightInd/>
        <w:snapToGrid/>
        <w:spacing w:line="460" w:lineRule="exact"/>
        <w:textAlignment w:val="auto"/>
        <w:outlineLvl w:val="0"/>
        <w:rPr>
          <w:rFonts w:hint="default" w:ascii="仿宋" w:hAnsi="仿宋" w:eastAsia="仿宋"/>
          <w:b/>
          <w:sz w:val="32"/>
          <w:szCs w:val="32"/>
          <w:lang w:val="en-US" w:eastAsia="zh-CN"/>
        </w:rPr>
      </w:pPr>
      <w:r>
        <w:rPr>
          <w:rFonts w:hint="eastAsia" w:ascii="仿宋" w:hAnsi="仿宋" w:eastAsia="仿宋"/>
          <w:b/>
          <w:sz w:val="32"/>
          <w:szCs w:val="32"/>
          <w:lang w:val="en-US" w:eastAsia="zh-CN"/>
        </w:rPr>
        <w:t>1.区位图</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0"/>
        <w:rPr>
          <w:rFonts w:hint="default" w:ascii="仿宋" w:hAnsi="仿宋" w:eastAsia="仿宋"/>
          <w:b/>
          <w:sz w:val="32"/>
          <w:szCs w:val="32"/>
          <w:lang w:val="en-US" w:eastAsia="zh-CN"/>
        </w:rPr>
      </w:pPr>
      <w:r>
        <mc:AlternateContent>
          <mc:Choice Requires="wps">
            <w:drawing>
              <wp:anchor distT="0" distB="0" distL="114300" distR="114300" simplePos="0" relativeHeight="251663360" behindDoc="0" locked="0" layoutInCell="1" allowOverlap="1">
                <wp:simplePos x="0" y="0"/>
                <wp:positionH relativeFrom="column">
                  <wp:posOffset>4074160</wp:posOffset>
                </wp:positionH>
                <wp:positionV relativeFrom="paragraph">
                  <wp:posOffset>3569970</wp:posOffset>
                </wp:positionV>
                <wp:extent cx="1376045" cy="562610"/>
                <wp:effectExtent l="45720" t="412115" r="6985" b="15875"/>
                <wp:wrapNone/>
                <wp:docPr id="8" name="圆角矩形标注 8"/>
                <wp:cNvGraphicFramePr/>
                <a:graphic xmlns:a="http://schemas.openxmlformats.org/drawingml/2006/main">
                  <a:graphicData uri="http://schemas.microsoft.com/office/word/2010/wordprocessingShape">
                    <wps:wsp>
                      <wps:cNvSpPr/>
                      <wps:spPr>
                        <a:xfrm>
                          <a:off x="0" y="0"/>
                          <a:ext cx="1376045" cy="562610"/>
                        </a:xfrm>
                        <a:prstGeom prst="wedgeRoundRectCallout">
                          <a:avLst>
                            <a:gd name="adj1" fmla="val -52999"/>
                            <a:gd name="adj2" fmla="val -122460"/>
                            <a:gd name="adj3" fmla="val 16667"/>
                          </a:avLst>
                        </a:prstGeom>
                        <a:solidFill>
                          <a:srgbClr val="953735"/>
                        </a:solidFill>
                        <a:ln w="6350" cap="flat" cmpd="sng">
                          <a:solidFill>
                            <a:srgbClr val="000000"/>
                          </a:solidFill>
                          <a:prstDash val="solid"/>
                          <a:round/>
                          <a:headEnd type="none" w="med" len="med"/>
                          <a:tailEnd type="none" w="med" len="med"/>
                        </a:ln>
                      </wps:spPr>
                      <wps:txbx>
                        <w:txbxContent>
                          <w:p>
                            <w:pPr>
                              <w:pStyle w:val="4"/>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color w:val="FFFFFF" w:themeColor="background1"/>
                                <w:sz w:val="32"/>
                                <w:szCs w:val="32"/>
                                <w:lang w:eastAsia="zh-CN"/>
                                <w14:textFill>
                                  <w14:solidFill>
                                    <w14:schemeClr w14:val="bg1"/>
                                  </w14:solidFill>
                                </w14:textFill>
                              </w:rPr>
                            </w:pPr>
                            <w:r>
                              <w:rPr>
                                <w:rFonts w:hint="eastAsia" w:ascii="仿宋" w:hAnsi="仿宋" w:eastAsia="仿宋" w:cs="仿宋"/>
                                <w:color w:val="FFFFFF" w:themeColor="background1"/>
                                <w:kern w:val="24"/>
                                <w:sz w:val="32"/>
                                <w:szCs w:val="32"/>
                                <w14:textFill>
                                  <w14:solidFill>
                                    <w14:schemeClr w14:val="bg1"/>
                                  </w14:solidFill>
                                </w14:textFill>
                              </w:rPr>
                              <w:t>论证</w:t>
                            </w:r>
                            <w:r>
                              <w:rPr>
                                <w:rFonts w:hint="eastAsia" w:ascii="仿宋" w:hAnsi="仿宋" w:eastAsia="仿宋" w:cs="仿宋"/>
                                <w:color w:val="FFFFFF" w:themeColor="background1"/>
                                <w:kern w:val="24"/>
                                <w:sz w:val="32"/>
                                <w:szCs w:val="32"/>
                                <w:lang w:val="en-US" w:eastAsia="zh-CN"/>
                                <w14:textFill>
                                  <w14:solidFill>
                                    <w14:schemeClr w14:val="bg1"/>
                                  </w14:solidFill>
                                </w14:textFill>
                              </w:rPr>
                              <w:t>范围</w:t>
                            </w:r>
                          </w:p>
                        </w:txbxContent>
                      </wps:txbx>
                      <wps:bodyPr upright="1"/>
                    </wps:wsp>
                  </a:graphicData>
                </a:graphic>
              </wp:anchor>
            </w:drawing>
          </mc:Choice>
          <mc:Fallback>
            <w:pict>
              <v:shape id="_x0000_s1026" o:spid="_x0000_s1026" o:spt="62" type="#_x0000_t62" style="position:absolute;left:0pt;margin-left:320.8pt;margin-top:281.1pt;height:44.3pt;width:108.35pt;z-index:251663360;mso-width-relative:page;mso-height-relative:page;" fillcolor="#953735" filled="t" stroked="t" coordsize="21600,21600" o:gfxdata="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HzqL2AAAAAsBAAAPAAAAAAAAAAEAIAAAACIAAABkcnMv&#10;ZG93bnJldi54bWxQSwECFAAUAAAACACHTuJA3qdYtzwCAABwBAAADgAAAAAAAAABACAAAAAnAQAA&#10;ZHJzL2Uyb0RvYy54bWxQSwUGAAAAAAYABgBZAQAA1QUAAAAA&#10;" adj="-648,-15651,14400">
                <v:fill on="t" focussize="0,0"/>
                <v:stroke weight="0.5pt" color="#000000" joinstyle="round"/>
                <v:imagedata o:title=""/>
                <o:lock v:ext="edit" aspectratio="f"/>
                <v:textbox>
                  <w:txbxContent>
                    <w:p>
                      <w:pPr>
                        <w:pStyle w:val="4"/>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仿宋" w:hAnsi="仿宋" w:eastAsia="仿宋" w:cs="仿宋"/>
                          <w:color w:val="FFFFFF" w:themeColor="background1"/>
                          <w:sz w:val="32"/>
                          <w:szCs w:val="32"/>
                          <w:lang w:eastAsia="zh-CN"/>
                          <w14:textFill>
                            <w14:solidFill>
                              <w14:schemeClr w14:val="bg1"/>
                            </w14:solidFill>
                          </w14:textFill>
                        </w:rPr>
                      </w:pPr>
                      <w:r>
                        <w:rPr>
                          <w:rFonts w:hint="eastAsia" w:ascii="仿宋" w:hAnsi="仿宋" w:eastAsia="仿宋" w:cs="仿宋"/>
                          <w:color w:val="FFFFFF" w:themeColor="background1"/>
                          <w:kern w:val="24"/>
                          <w:sz w:val="32"/>
                          <w:szCs w:val="32"/>
                          <w14:textFill>
                            <w14:solidFill>
                              <w14:schemeClr w14:val="bg1"/>
                            </w14:solidFill>
                          </w14:textFill>
                        </w:rPr>
                        <w:t>论证</w:t>
                      </w:r>
                      <w:r>
                        <w:rPr>
                          <w:rFonts w:hint="eastAsia" w:ascii="仿宋" w:hAnsi="仿宋" w:eastAsia="仿宋" w:cs="仿宋"/>
                          <w:color w:val="FFFFFF" w:themeColor="background1"/>
                          <w:kern w:val="24"/>
                          <w:sz w:val="32"/>
                          <w:szCs w:val="32"/>
                          <w:lang w:val="en-US" w:eastAsia="zh-CN"/>
                          <w14:textFill>
                            <w14:solidFill>
                              <w14:schemeClr w14:val="bg1"/>
                            </w14:solidFill>
                          </w14:textFill>
                        </w:rPr>
                        <w:t>范围</w:t>
                      </w:r>
                    </w:p>
                  </w:txbxContent>
                </v:textbox>
              </v:shape>
            </w:pict>
          </mc:Fallback>
        </mc:AlternateContent>
      </w:r>
      <w:r>
        <w:drawing>
          <wp:inline distT="0" distB="0" distL="114300" distR="114300">
            <wp:extent cx="5773420" cy="5792470"/>
            <wp:effectExtent l="0" t="0" r="17780" b="17780"/>
            <wp:docPr id="1" name="图片 1" descr="E:\2024年项目\1-论证项目\03-海外院\02-评审稿\1-图纸\图纸\1-04 用地周边现状2.jpg1-04 用地周边现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24年项目\1-论证项目\03-海外院\02-评审稿\1-图纸\图纸\1-04 用地周边现状2.jpg1-04 用地周边现状2"/>
                    <pic:cNvPicPr>
                      <a:picLocks noChangeAspect="1"/>
                    </pic:cNvPicPr>
                  </pic:nvPicPr>
                  <pic:blipFill>
                    <a:blip r:embed="rId6"/>
                    <a:srcRect l="6293" t="3494" r="27924" b="3261"/>
                    <a:stretch>
                      <a:fillRect/>
                    </a:stretch>
                  </pic:blipFill>
                  <pic:spPr>
                    <a:xfrm>
                      <a:off x="0" y="0"/>
                      <a:ext cx="5773420" cy="5792470"/>
                    </a:xfrm>
                    <a:prstGeom prst="rect">
                      <a:avLst/>
                    </a:prstGeom>
                  </pic:spPr>
                </pic:pic>
              </a:graphicData>
            </a:graphic>
          </wp:inline>
        </w:drawing>
      </w:r>
    </w:p>
    <w:p>
      <w:pPr>
        <w:pStyle w:val="8"/>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0"/>
        <w:rPr>
          <w:rFonts w:hint="default" w:ascii="仿宋" w:hAnsi="仿宋" w:eastAsia="仿宋"/>
          <w:b/>
          <w:sz w:val="32"/>
          <w:szCs w:val="32"/>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0"/>
        <w:rPr>
          <w:rFonts w:hint="default" w:ascii="仿宋" w:hAnsi="仿宋" w:eastAsia="仿宋"/>
          <w:b/>
          <w:sz w:val="32"/>
          <w:szCs w:val="32"/>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0"/>
        <w:rPr>
          <w:rFonts w:hint="default" w:ascii="仿宋" w:hAnsi="仿宋" w:eastAsia="仿宋"/>
          <w:b/>
          <w:sz w:val="32"/>
          <w:szCs w:val="32"/>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0"/>
        <w:rPr>
          <w:rFonts w:hint="default" w:ascii="仿宋" w:hAnsi="仿宋" w:eastAsia="仿宋"/>
          <w:b/>
          <w:sz w:val="32"/>
          <w:szCs w:val="32"/>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outlineLvl w:val="0"/>
        <w:rPr>
          <w:rFonts w:hint="default" w:ascii="仿宋" w:hAnsi="仿宋" w:eastAsia="仿宋"/>
          <w:b/>
          <w:sz w:val="32"/>
          <w:szCs w:val="32"/>
          <w:lang w:val="en-US" w:eastAsia="zh-CN"/>
        </w:rPr>
      </w:pPr>
    </w:p>
    <w:p>
      <w:pPr>
        <w:pStyle w:val="8"/>
        <w:keepNext w:val="0"/>
        <w:keepLines w:val="0"/>
        <w:pageBreakBefore w:val="0"/>
        <w:widowControl w:val="0"/>
        <w:numPr>
          <w:numId w:val="0"/>
        </w:numPr>
        <w:kinsoku/>
        <w:wordWrap/>
        <w:overflowPunct/>
        <w:topLinePunct w:val="0"/>
        <w:autoSpaceDE/>
        <w:autoSpaceDN/>
        <w:bidi w:val="0"/>
        <w:adjustRightInd/>
        <w:snapToGrid/>
        <w:spacing w:line="460" w:lineRule="exact"/>
        <w:textAlignment w:val="auto"/>
        <w:outlineLvl w:val="0"/>
        <w:rPr>
          <w:rFonts w:hint="default" w:ascii="仿宋" w:hAnsi="仿宋" w:eastAsia="仿宋"/>
          <w:b/>
          <w:sz w:val="32"/>
          <w:szCs w:val="32"/>
          <w:lang w:val="en-US" w:eastAsia="zh-CN"/>
        </w:rPr>
      </w:pPr>
      <w:r>
        <w:rPr>
          <w:rFonts w:hint="eastAsia" w:ascii="仿宋" w:hAnsi="仿宋" w:eastAsia="仿宋"/>
          <w:b/>
          <w:sz w:val="32"/>
          <w:szCs w:val="32"/>
          <w:lang w:val="en-US" w:eastAsia="zh-CN"/>
        </w:rPr>
        <w:t>2.修改前后土地利用规划图</w:t>
      </w:r>
    </w:p>
    <w:p>
      <w:pPr>
        <w:pStyle w:val="8"/>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outlineLvl w:val="0"/>
        <w:rPr>
          <w:rFonts w:hint="default" w:ascii="仿宋" w:hAnsi="仿宋" w:eastAsia="仿宋"/>
          <w:b/>
          <w:sz w:val="32"/>
          <w:szCs w:val="32"/>
          <w:lang w:val="en-US" w:eastAsia="zh-CN"/>
        </w:rPr>
      </w:pPr>
      <w:r>
        <w:rPr>
          <w:sz w:val="21"/>
        </w:rPr>
        <w:drawing>
          <wp:anchor distT="0" distB="0" distL="114300" distR="114300" simplePos="0" relativeHeight="251658240" behindDoc="0" locked="0" layoutInCell="1" allowOverlap="1">
            <wp:simplePos x="0" y="0"/>
            <wp:positionH relativeFrom="column">
              <wp:posOffset>1905</wp:posOffset>
            </wp:positionH>
            <wp:positionV relativeFrom="paragraph">
              <wp:posOffset>92075</wp:posOffset>
            </wp:positionV>
            <wp:extent cx="5755005" cy="3384550"/>
            <wp:effectExtent l="9525" t="9525" r="26670" b="15875"/>
            <wp:wrapNone/>
            <wp:docPr id="10" name="Picture 2" descr="E:\2024年项目\1-论证项目\03-海外院\04-公示材料\文城片区控规-调整前-Model.jpg文城片区控规-调整前-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E:\2024年项目\1-论证项目\03-海外院\04-公示材料\文城片区控规-调整前-Model.jpg文城片区控规-调整前-Model"/>
                    <pic:cNvPicPr>
                      <a:picLocks noChangeAspect="1"/>
                    </pic:cNvPicPr>
                  </pic:nvPicPr>
                  <pic:blipFill>
                    <a:blip r:embed="rId7"/>
                    <a:srcRect l="9890" t="13626" r="10650" b="20253"/>
                    <a:stretch>
                      <a:fillRect/>
                    </a:stretch>
                  </pic:blipFill>
                  <pic:spPr>
                    <a:xfrm>
                      <a:off x="0" y="0"/>
                      <a:ext cx="5755005" cy="3384550"/>
                    </a:xfrm>
                    <a:prstGeom prst="rect">
                      <a:avLst/>
                    </a:prstGeom>
                    <a:noFill/>
                    <a:ln w="1270" cap="flat" cmpd="sng">
                      <a:solidFill>
                        <a:srgbClr val="000000"/>
                      </a:solidFill>
                      <a:prstDash val="solid"/>
                      <a:round/>
                      <a:headEnd type="none" w="med" len="med"/>
                      <a:tailEnd type="none" w="med" len="med"/>
                    </a:ln>
                  </pic:spPr>
                </pic:pic>
              </a:graphicData>
            </a:graphic>
          </wp:anchor>
        </w:drawing>
      </w:r>
    </w:p>
    <w:p>
      <w:pPr>
        <w:pStyle w:val="8"/>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outlineLvl w:val="0"/>
        <w:rPr>
          <w:rFonts w:hint="default" w:ascii="仿宋" w:hAnsi="仿宋" w:eastAsia="仿宋"/>
          <w:b/>
          <w:sz w:val="32"/>
          <w:szCs w:val="32"/>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outlineLvl w:val="0"/>
        <w:rPr>
          <w:rFonts w:hint="default" w:ascii="仿宋" w:hAnsi="仿宋" w:eastAsia="仿宋"/>
          <w:b/>
          <w:sz w:val="32"/>
          <w:szCs w:val="32"/>
          <w:lang w:val="en-US" w:eastAsia="zh-CN"/>
        </w:rPr>
      </w:pPr>
      <w:r>
        <mc:AlternateContent>
          <mc:Choice Requires="wps">
            <w:drawing>
              <wp:anchor distT="0" distB="0" distL="114300" distR="114300" simplePos="0" relativeHeight="251722752" behindDoc="0" locked="0" layoutInCell="1" allowOverlap="1">
                <wp:simplePos x="0" y="0"/>
                <wp:positionH relativeFrom="column">
                  <wp:posOffset>4172585</wp:posOffset>
                </wp:positionH>
                <wp:positionV relativeFrom="paragraph">
                  <wp:posOffset>121285</wp:posOffset>
                </wp:positionV>
                <wp:extent cx="1149350" cy="482600"/>
                <wp:effectExtent l="360680" t="4445" r="13970" b="122555"/>
                <wp:wrapNone/>
                <wp:docPr id="5" name="圆角矩形标注 5"/>
                <wp:cNvGraphicFramePr/>
                <a:graphic xmlns:a="http://schemas.openxmlformats.org/drawingml/2006/main">
                  <a:graphicData uri="http://schemas.microsoft.com/office/word/2010/wordprocessingShape">
                    <wps:wsp>
                      <wps:cNvSpPr/>
                      <wps:spPr>
                        <a:xfrm>
                          <a:off x="0" y="0"/>
                          <a:ext cx="1149350" cy="482600"/>
                        </a:xfrm>
                        <a:prstGeom prst="wedgeRoundRectCallout">
                          <a:avLst>
                            <a:gd name="adj1" fmla="val -80994"/>
                            <a:gd name="adj2" fmla="val 73838"/>
                            <a:gd name="adj3" fmla="val 16667"/>
                          </a:avLst>
                        </a:prstGeom>
                        <a:solidFill>
                          <a:srgbClr val="953735"/>
                        </a:solidFill>
                        <a:ln w="6350" cap="flat" cmpd="sng">
                          <a:solidFill>
                            <a:srgbClr val="000000"/>
                          </a:solidFill>
                          <a:prstDash val="solid"/>
                          <a:round/>
                          <a:headEnd type="none" w="med" len="med"/>
                          <a:tailEnd type="none" w="med" len="med"/>
                        </a:ln>
                      </wps:spPr>
                      <wps:txbx>
                        <w:txbxContent>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b/>
                                <w:bCs/>
                                <w:sz w:val="28"/>
                                <w:szCs w:val="28"/>
                                <w:lang w:eastAsia="zh-CN"/>
                              </w:rPr>
                            </w:pPr>
                            <w:r>
                              <w:rPr>
                                <w:rFonts w:hint="eastAsia" w:ascii="宋体" w:hAnsi="宋体" w:eastAsia="宋体" w:cs="宋体"/>
                                <w:b/>
                                <w:bCs/>
                                <w:color w:val="FFFFFF"/>
                                <w:kern w:val="24"/>
                                <w:sz w:val="28"/>
                                <w:szCs w:val="28"/>
                              </w:rPr>
                              <w:t>论证</w:t>
                            </w:r>
                            <w:r>
                              <w:rPr>
                                <w:rFonts w:hint="eastAsia" w:ascii="宋体" w:hAnsi="宋体" w:cs="宋体"/>
                                <w:b/>
                                <w:bCs/>
                                <w:color w:val="FFFFFF"/>
                                <w:kern w:val="24"/>
                                <w:sz w:val="28"/>
                                <w:szCs w:val="28"/>
                                <w:lang w:val="en-US" w:eastAsia="zh-CN"/>
                              </w:rPr>
                              <w:t>范围</w:t>
                            </w:r>
                          </w:p>
                        </w:txbxContent>
                      </wps:txbx>
                      <wps:bodyPr upright="1"/>
                    </wps:wsp>
                  </a:graphicData>
                </a:graphic>
              </wp:anchor>
            </w:drawing>
          </mc:Choice>
          <mc:Fallback>
            <w:pict>
              <v:shape id="_x0000_s1026" o:spid="_x0000_s1026" o:spt="62" type="#_x0000_t62" style="position:absolute;left:0pt;margin-left:328.55pt;margin-top:9.55pt;height:38pt;width:90.5pt;z-index:251722752;mso-width-relative:page;mso-height-relative:page;" fillcolor="#953735" filled="t" stroked="t" coordsize="21600,21600" o:gfxdata="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L0ze2AAAAAkBAAAPAAAAAAAAAAEAIAAAACIAAABkcnMvZG93&#10;bnJldi54bWxQSwECFAAUAAAACACHTuJAoArYgzkCAABuBAAADgAAAAAAAAABACAAAAAnAQAAZHJz&#10;L2Uyb0RvYy54bWxQSwUGAAAAAAYABgBZAQAA0gUAAAAA&#10;" adj="-6695,26749,14400">
                <v:fill on="t" focussize="0,0"/>
                <v:stroke weight="0.5pt" color="#000000" joinstyle="round"/>
                <v:imagedata o:title=""/>
                <o:lock v:ext="edit" aspectratio="f"/>
                <v:textbox>
                  <w:txbxContent>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b/>
                          <w:bCs/>
                          <w:sz w:val="28"/>
                          <w:szCs w:val="28"/>
                          <w:lang w:eastAsia="zh-CN"/>
                        </w:rPr>
                      </w:pPr>
                      <w:r>
                        <w:rPr>
                          <w:rFonts w:hint="eastAsia" w:ascii="宋体" w:hAnsi="宋体" w:eastAsia="宋体" w:cs="宋体"/>
                          <w:b/>
                          <w:bCs/>
                          <w:color w:val="FFFFFF"/>
                          <w:kern w:val="24"/>
                          <w:sz w:val="28"/>
                          <w:szCs w:val="28"/>
                        </w:rPr>
                        <w:t>论证</w:t>
                      </w:r>
                      <w:r>
                        <w:rPr>
                          <w:rFonts w:hint="eastAsia" w:ascii="宋体" w:hAnsi="宋体" w:cs="宋体"/>
                          <w:b/>
                          <w:bCs/>
                          <w:color w:val="FFFFFF"/>
                          <w:kern w:val="24"/>
                          <w:sz w:val="28"/>
                          <w:szCs w:val="28"/>
                          <w:lang w:val="en-US" w:eastAsia="zh-CN"/>
                        </w:rPr>
                        <w:t>范围</w:t>
                      </w:r>
                    </w:p>
                  </w:txbxContent>
                </v:textbox>
              </v:shape>
            </w:pict>
          </mc:Fallback>
        </mc:AlternateContent>
      </w:r>
    </w:p>
    <w:p>
      <w:pPr>
        <w:pStyle w:val="8"/>
        <w:keepNext w:val="0"/>
        <w:keepLines w:val="0"/>
        <w:pageBreakBefore w:val="0"/>
        <w:widowControl w:val="0"/>
        <w:numPr>
          <w:ilvl w:val="0"/>
          <w:numId w:val="0"/>
        </w:numPr>
        <w:kinsoku/>
        <w:wordWrap/>
        <w:overflowPunct/>
        <w:topLinePunct w:val="0"/>
        <w:autoSpaceDE/>
        <w:autoSpaceDN/>
        <w:bidi w:val="0"/>
        <w:adjustRightInd/>
        <w:spacing w:line="460" w:lineRule="exact"/>
        <w:jc w:val="both"/>
        <w:textAlignment w:val="auto"/>
        <w:outlineLvl w:val="0"/>
        <w:rPr>
          <w:rFonts w:hint="default" w:ascii="仿宋" w:hAnsi="仿宋" w:eastAsia="仿宋"/>
          <w:b/>
          <w:sz w:val="32"/>
          <w:szCs w:val="32"/>
          <w:lang w:val="en-US" w:eastAsia="zh-CN"/>
        </w:rPr>
        <w:sectPr>
          <w:pgSz w:w="12240" w:h="15839"/>
          <w:pgMar w:top="1440" w:right="1321" w:bottom="1440" w:left="1797" w:header="851" w:footer="992" w:gutter="0"/>
          <w:pgBorders>
            <w:top w:val="none" w:sz="0" w:space="0"/>
            <w:left w:val="none" w:sz="0" w:space="0"/>
            <w:bottom w:val="none" w:sz="0" w:space="0"/>
            <w:right w:val="none" w:sz="0" w:space="0"/>
          </w:pgBorders>
          <w:cols w:space="425" w:num="1"/>
          <w:docGrid w:type="lines" w:linePitch="312" w:charSpace="0"/>
        </w:sectPr>
      </w:pPr>
      <w:r>
        <mc:AlternateContent>
          <mc:Choice Requires="wps">
            <w:drawing>
              <wp:anchor distT="0" distB="0" distL="114300" distR="114300" simplePos="0" relativeHeight="251788288" behindDoc="0" locked="0" layoutInCell="1" allowOverlap="1">
                <wp:simplePos x="0" y="0"/>
                <wp:positionH relativeFrom="column">
                  <wp:posOffset>4098925</wp:posOffset>
                </wp:positionH>
                <wp:positionV relativeFrom="paragraph">
                  <wp:posOffset>3589020</wp:posOffset>
                </wp:positionV>
                <wp:extent cx="1149350" cy="482600"/>
                <wp:effectExtent l="360680" t="4445" r="13970" b="122555"/>
                <wp:wrapNone/>
                <wp:docPr id="2" name="圆角矩形标注 2"/>
                <wp:cNvGraphicFramePr/>
                <a:graphic xmlns:a="http://schemas.openxmlformats.org/drawingml/2006/main">
                  <a:graphicData uri="http://schemas.microsoft.com/office/word/2010/wordprocessingShape">
                    <wps:wsp>
                      <wps:cNvSpPr/>
                      <wps:spPr>
                        <a:xfrm>
                          <a:off x="0" y="0"/>
                          <a:ext cx="1149350" cy="482600"/>
                        </a:xfrm>
                        <a:prstGeom prst="wedgeRoundRectCallout">
                          <a:avLst>
                            <a:gd name="adj1" fmla="val -80994"/>
                            <a:gd name="adj2" fmla="val 73838"/>
                            <a:gd name="adj3" fmla="val 16667"/>
                          </a:avLst>
                        </a:prstGeom>
                        <a:solidFill>
                          <a:srgbClr val="953735"/>
                        </a:solidFill>
                        <a:ln w="6350" cap="flat" cmpd="sng">
                          <a:solidFill>
                            <a:srgbClr val="000000"/>
                          </a:solidFill>
                          <a:prstDash val="solid"/>
                          <a:round/>
                          <a:headEnd type="none" w="med" len="med"/>
                          <a:tailEnd type="none" w="med" len="med"/>
                        </a:ln>
                      </wps:spPr>
                      <wps:txbx>
                        <w:txbxContent>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b/>
                                <w:bCs/>
                                <w:sz w:val="28"/>
                                <w:szCs w:val="28"/>
                                <w:lang w:eastAsia="zh-CN"/>
                              </w:rPr>
                            </w:pPr>
                            <w:r>
                              <w:rPr>
                                <w:rFonts w:hint="eastAsia" w:ascii="宋体" w:hAnsi="宋体" w:eastAsia="宋体" w:cs="宋体"/>
                                <w:b/>
                                <w:bCs/>
                                <w:color w:val="FFFFFF"/>
                                <w:kern w:val="24"/>
                                <w:sz w:val="28"/>
                                <w:szCs w:val="28"/>
                              </w:rPr>
                              <w:t>论证</w:t>
                            </w:r>
                            <w:r>
                              <w:rPr>
                                <w:rFonts w:hint="eastAsia" w:ascii="宋体" w:hAnsi="宋体" w:cs="宋体"/>
                                <w:b/>
                                <w:bCs/>
                                <w:color w:val="FFFFFF"/>
                                <w:kern w:val="24"/>
                                <w:sz w:val="28"/>
                                <w:szCs w:val="28"/>
                                <w:lang w:val="en-US" w:eastAsia="zh-CN"/>
                              </w:rPr>
                              <w:t>范围</w:t>
                            </w:r>
                          </w:p>
                        </w:txbxContent>
                      </wps:txbx>
                      <wps:bodyPr upright="1"/>
                    </wps:wsp>
                  </a:graphicData>
                </a:graphic>
              </wp:anchor>
            </w:drawing>
          </mc:Choice>
          <mc:Fallback>
            <w:pict>
              <v:shape id="_x0000_s1026" o:spid="_x0000_s1026" o:spt="62" type="#_x0000_t62" style="position:absolute;left:0pt;margin-left:322.75pt;margin-top:282.6pt;height:38pt;width:90.5pt;z-index:251788288;mso-width-relative:page;mso-height-relative:page;" fillcolor="#953735" filled="t" stroked="t" coordsize="21600,21600" o:gfxdata="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RAREtkAAAALAQAADwAAAAAAAAABACAAAAAiAAAAZHJzL2Rv&#10;d25yZXYueG1sUEsBAhQAFAAAAAgAh07iQAP4X3k5AgAAbgQAAA4AAAAAAAAAAQAgAAAAKAEAAGRy&#10;cy9lMm9Eb2MueG1sUEsFBgAAAAAGAAYAWQEAANMFAAAAAA==&#10;" adj="-6695,26749,14400">
                <v:fill on="t" focussize="0,0"/>
                <v:stroke weight="0.5pt" color="#000000" joinstyle="round"/>
                <v:imagedata o:title=""/>
                <o:lock v:ext="edit" aspectratio="f"/>
                <v:textbox>
                  <w:txbxContent>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b/>
                          <w:bCs/>
                          <w:sz w:val="28"/>
                          <w:szCs w:val="28"/>
                          <w:lang w:eastAsia="zh-CN"/>
                        </w:rPr>
                      </w:pPr>
                      <w:r>
                        <w:rPr>
                          <w:rFonts w:hint="eastAsia" w:ascii="宋体" w:hAnsi="宋体" w:eastAsia="宋体" w:cs="宋体"/>
                          <w:b/>
                          <w:bCs/>
                          <w:color w:val="FFFFFF"/>
                          <w:kern w:val="24"/>
                          <w:sz w:val="28"/>
                          <w:szCs w:val="28"/>
                        </w:rPr>
                        <w:t>论证</w:t>
                      </w:r>
                      <w:r>
                        <w:rPr>
                          <w:rFonts w:hint="eastAsia" w:ascii="宋体" w:hAnsi="宋体" w:cs="宋体"/>
                          <w:b/>
                          <w:bCs/>
                          <w:color w:val="FFFFFF"/>
                          <w:kern w:val="24"/>
                          <w:sz w:val="28"/>
                          <w:szCs w:val="28"/>
                          <w:lang w:val="en-US" w:eastAsia="zh-CN"/>
                        </w:rPr>
                        <w:t>范围</w:t>
                      </w:r>
                    </w:p>
                  </w:txbxContent>
                </v:textbox>
              </v:shape>
            </w:pict>
          </mc:Fallback>
        </mc:AlternateContent>
      </w:r>
      <w:r>
        <w:rPr>
          <w:sz w:val="21"/>
        </w:rPr>
        <w:drawing>
          <wp:anchor distT="0" distB="0" distL="114300" distR="114300" simplePos="0" relativeHeight="251666432" behindDoc="0" locked="0" layoutInCell="1" allowOverlap="1">
            <wp:simplePos x="0" y="0"/>
            <wp:positionH relativeFrom="column">
              <wp:posOffset>-8255</wp:posOffset>
            </wp:positionH>
            <wp:positionV relativeFrom="paragraph">
              <wp:posOffset>2976245</wp:posOffset>
            </wp:positionV>
            <wp:extent cx="5775960" cy="3391535"/>
            <wp:effectExtent l="9525" t="9525" r="24765" b="27940"/>
            <wp:wrapNone/>
            <wp:docPr id="12" name="Picture 2" descr="E:\2024年项目\1-论证项目\03-海外院\04-公示材料\文城片区控规-调整后-Model.jpg文城片区控规-调整后-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E:\2024年项目\1-论证项目\03-海外院\04-公示材料\文城片区控规-调整后-Model.jpg文城片区控规-调整后-Model"/>
                    <pic:cNvPicPr>
                      <a:picLocks noChangeAspect="1"/>
                    </pic:cNvPicPr>
                  </pic:nvPicPr>
                  <pic:blipFill>
                    <a:blip r:embed="rId8"/>
                    <a:srcRect l="9712" t="13550" r="10181" b="19906"/>
                    <a:stretch>
                      <a:fillRect/>
                    </a:stretch>
                  </pic:blipFill>
                  <pic:spPr>
                    <a:xfrm>
                      <a:off x="0" y="0"/>
                      <a:ext cx="5775960" cy="3391535"/>
                    </a:xfrm>
                    <a:prstGeom prst="rect">
                      <a:avLst/>
                    </a:prstGeom>
                    <a:noFill/>
                    <a:ln w="1270" cap="flat" cmpd="sng">
                      <a:solidFill>
                        <a:srgbClr val="000000"/>
                      </a:solidFill>
                      <a:prstDash val="solid"/>
                      <a:round/>
                      <a:headEnd type="none" w="med" len="med"/>
                      <a:tailEnd type="none" w="med" len="med"/>
                    </a:ln>
                  </pic:spPr>
                </pic:pic>
              </a:graphicData>
            </a:graphic>
          </wp:anchor>
        </w:drawing>
      </w:r>
      <w:r>
        <w:rPr>
          <w:sz w:val="21"/>
        </w:rPr>
        <mc:AlternateContent>
          <mc:Choice Requires="wps">
            <w:drawing>
              <wp:anchor distT="0" distB="0" distL="114300" distR="114300" simplePos="0" relativeHeight="251667456" behindDoc="0" locked="0" layoutInCell="1" allowOverlap="1">
                <wp:simplePos x="0" y="0"/>
                <wp:positionH relativeFrom="column">
                  <wp:posOffset>-50165</wp:posOffset>
                </wp:positionH>
                <wp:positionV relativeFrom="paragraph">
                  <wp:posOffset>6376670</wp:posOffset>
                </wp:positionV>
                <wp:extent cx="2048510" cy="275590"/>
                <wp:effectExtent l="0" t="0" r="8890" b="10160"/>
                <wp:wrapNone/>
                <wp:docPr id="11" name="矩形 11"/>
                <wp:cNvGraphicFramePr/>
                <a:graphic xmlns:a="http://schemas.openxmlformats.org/drawingml/2006/main">
                  <a:graphicData uri="http://schemas.microsoft.com/office/word/2010/wordprocessingShape">
                    <wps:wsp>
                      <wps:cNvSpPr/>
                      <wps:spPr>
                        <a:xfrm>
                          <a:off x="0" y="0"/>
                          <a:ext cx="2048510" cy="275590"/>
                        </a:xfrm>
                        <a:prstGeom prst="rect">
                          <a:avLst/>
                        </a:prstGeom>
                        <a:solidFill>
                          <a:srgbClr val="FFFFFF"/>
                        </a:solidFill>
                        <a:ln w="25400">
                          <a:noFill/>
                        </a:ln>
                      </wps:spPr>
                      <wps:txbx>
                        <w:txbxContent>
                          <w:p>
                            <w:pPr>
                              <w:pStyle w:val="4"/>
                              <w:kinsoku/>
                              <w:ind w:left="0"/>
                              <w:jc w:val="left"/>
                              <w:textAlignment w:val="top"/>
                            </w:pPr>
                            <w:r>
                              <w:rPr>
                                <w:rFonts w:ascii="Calibri" w:hAnsi="Times New Roman" w:eastAsia="宋体"/>
                                <w:b/>
                                <w:color w:val="000000"/>
                                <w:kern w:val="24"/>
                                <w:sz w:val="20"/>
                                <w:szCs w:val="20"/>
                              </w:rPr>
                              <w:t>修改</w:t>
                            </w:r>
                            <w:r>
                              <w:rPr>
                                <w:rFonts w:hint="eastAsia" w:hAnsi="Times New Roman"/>
                                <w:b/>
                                <w:color w:val="000000"/>
                                <w:kern w:val="24"/>
                                <w:sz w:val="20"/>
                                <w:szCs w:val="20"/>
                                <w:lang w:val="en-US" w:eastAsia="zh-CN"/>
                              </w:rPr>
                              <w:t>后</w:t>
                            </w:r>
                            <w:r>
                              <w:rPr>
                                <w:rFonts w:ascii="Calibri" w:hAnsi="Times New Roman" w:eastAsia="宋体"/>
                                <w:b/>
                                <w:color w:val="000000"/>
                                <w:kern w:val="24"/>
                                <w:sz w:val="20"/>
                                <w:szCs w:val="20"/>
                              </w:rPr>
                              <w:t>土地利用规划图（局部）</w:t>
                            </w:r>
                          </w:p>
                        </w:txbxContent>
                      </wps:txbx>
                      <wps:bodyPr anchor="ctr" anchorCtr="0" upright="1"/>
                    </wps:wsp>
                  </a:graphicData>
                </a:graphic>
              </wp:anchor>
            </w:drawing>
          </mc:Choice>
          <mc:Fallback>
            <w:pict>
              <v:rect id="_x0000_s1026" o:spid="_x0000_s1026" o:spt="1" style="position:absolute;left:0pt;margin-left:-3.95pt;margin-top:502.1pt;height:21.7pt;width:161.3pt;z-index:251667456;v-text-anchor:middle;mso-width-relative:page;mso-height-relative:page;" fillcolor="#FFFFFF" filled="t" stroked="f" coordsize="21600,21600" o:gfxdata="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kam&#10;xtYAAAAMAQAADwAAAAAAAAABACAAAAAiAAAAZHJzL2Rvd25yZXYueG1sUEsBAhQAFAAAAAgAh07i&#10;QAojb66yAQAAQwMAAA4AAAAAAAAAAQAgAAAAJQEAAGRycy9lMm9Eb2MueG1sUEsFBgAAAAAGAAYA&#10;WQEAAEkFAAAAAA==&#10;">
                <v:fill on="t" focussize="0,0"/>
                <v:stroke on="f" weight="2pt"/>
                <v:imagedata o:title=""/>
                <o:lock v:ext="edit" aspectratio="f"/>
                <v:textbox>
                  <w:txbxContent>
                    <w:p>
                      <w:pPr>
                        <w:pStyle w:val="4"/>
                        <w:kinsoku/>
                        <w:ind w:left="0"/>
                        <w:jc w:val="left"/>
                        <w:textAlignment w:val="top"/>
                      </w:pPr>
                      <w:r>
                        <w:rPr>
                          <w:rFonts w:ascii="Calibri" w:hAnsi="Times New Roman" w:eastAsia="宋体"/>
                          <w:b/>
                          <w:color w:val="000000"/>
                          <w:kern w:val="24"/>
                          <w:sz w:val="20"/>
                          <w:szCs w:val="20"/>
                        </w:rPr>
                        <w:t>修改</w:t>
                      </w:r>
                      <w:r>
                        <w:rPr>
                          <w:rFonts w:hint="eastAsia" w:hAnsi="Times New Roman"/>
                          <w:b/>
                          <w:color w:val="000000"/>
                          <w:kern w:val="24"/>
                          <w:sz w:val="20"/>
                          <w:szCs w:val="20"/>
                          <w:lang w:val="en-US" w:eastAsia="zh-CN"/>
                        </w:rPr>
                        <w:t>后</w:t>
                      </w:r>
                      <w:r>
                        <w:rPr>
                          <w:rFonts w:ascii="Calibri" w:hAnsi="Times New Roman" w:eastAsia="宋体"/>
                          <w:b/>
                          <w:color w:val="000000"/>
                          <w:kern w:val="24"/>
                          <w:sz w:val="20"/>
                          <w:szCs w:val="20"/>
                        </w:rPr>
                        <w:t>土地利用规划图（局部）</w:t>
                      </w:r>
                    </w:p>
                  </w:txbxContent>
                </v:textbox>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-27940</wp:posOffset>
                </wp:positionH>
                <wp:positionV relativeFrom="paragraph">
                  <wp:posOffset>2605405</wp:posOffset>
                </wp:positionV>
                <wp:extent cx="2037715" cy="275590"/>
                <wp:effectExtent l="0" t="0" r="635" b="10160"/>
                <wp:wrapNone/>
                <wp:docPr id="9" name="矩形 9"/>
                <wp:cNvGraphicFramePr/>
                <a:graphic xmlns:a="http://schemas.openxmlformats.org/drawingml/2006/main">
                  <a:graphicData uri="http://schemas.microsoft.com/office/word/2010/wordprocessingShape">
                    <wps:wsp>
                      <wps:cNvSpPr/>
                      <wps:spPr>
                        <a:xfrm>
                          <a:off x="0" y="0"/>
                          <a:ext cx="2037715" cy="275590"/>
                        </a:xfrm>
                        <a:prstGeom prst="rect">
                          <a:avLst/>
                        </a:prstGeom>
                        <a:solidFill>
                          <a:srgbClr val="FFFFFF"/>
                        </a:solidFill>
                        <a:ln w="25400">
                          <a:noFill/>
                        </a:ln>
                      </wps:spPr>
                      <wps:txbx>
                        <w:txbxContent>
                          <w:p>
                            <w:pPr>
                              <w:pStyle w:val="4"/>
                              <w:kinsoku/>
                              <w:ind w:left="0"/>
                              <w:jc w:val="left"/>
                              <w:textAlignment w:val="top"/>
                            </w:pPr>
                            <w:r>
                              <w:rPr>
                                <w:rFonts w:ascii="Calibri" w:hAnsi="Times New Roman" w:eastAsia="宋体"/>
                                <w:b/>
                                <w:color w:val="000000"/>
                                <w:kern w:val="24"/>
                                <w:sz w:val="20"/>
                                <w:szCs w:val="20"/>
                              </w:rPr>
                              <w:t>修改前土地利用规划图（局部）</w:t>
                            </w:r>
                          </w:p>
                        </w:txbxContent>
                      </wps:txbx>
                      <wps:bodyPr anchor="ctr" anchorCtr="0" upright="1"/>
                    </wps:wsp>
                  </a:graphicData>
                </a:graphic>
              </wp:anchor>
            </w:drawing>
          </mc:Choice>
          <mc:Fallback>
            <w:pict>
              <v:rect id="_x0000_s1026" o:spid="_x0000_s1026" o:spt="1" style="position:absolute;left:0pt;margin-left:-2.2pt;margin-top:205.15pt;height:21.7pt;width:160.45pt;z-index:251665408;v-text-anchor:middle;mso-width-relative:page;mso-height-relative:page;" fillcolor="#FFFFFF" filled="t" stroked="f" coordsize="21600,21600" o:gfxdata="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yd&#10;9LPWAAAACgEAAA8AAAAAAAAAAQAgAAAAIgAAAGRycy9kb3ducmV2LnhtbFBLAQIUABQAAAAIAIdO&#10;4kCx4jJnswEAAEEDAAAOAAAAAAAAAAEAIAAAACUBAABkcnMvZTJvRG9jLnhtbFBLBQYAAAAABgAG&#10;AFkBAABKBQAAAAA=&#10;">
                <v:fill on="t" focussize="0,0"/>
                <v:stroke on="f" weight="2pt"/>
                <v:imagedata o:title=""/>
                <o:lock v:ext="edit" aspectratio="f"/>
                <v:textbox>
                  <w:txbxContent>
                    <w:p>
                      <w:pPr>
                        <w:pStyle w:val="4"/>
                        <w:kinsoku/>
                        <w:ind w:left="0"/>
                        <w:jc w:val="left"/>
                        <w:textAlignment w:val="top"/>
                      </w:pPr>
                      <w:r>
                        <w:rPr>
                          <w:rFonts w:ascii="Calibri" w:hAnsi="Times New Roman" w:eastAsia="宋体"/>
                          <w:b/>
                          <w:color w:val="000000"/>
                          <w:kern w:val="24"/>
                          <w:sz w:val="20"/>
                          <w:szCs w:val="20"/>
                        </w:rPr>
                        <w:t>修改前土地利用规划图（局部）</w:t>
                      </w:r>
                    </w:p>
                  </w:txbxContent>
                </v:textbox>
              </v:rect>
            </w:pict>
          </mc:Fallback>
        </mc:AlternateContent>
      </w:r>
    </w:p>
    <w:p>
      <w:pPr>
        <w:pStyle w:val="8"/>
        <w:keepNext w:val="0"/>
        <w:keepLines w:val="0"/>
        <w:pageBreakBefore w:val="0"/>
        <w:widowControl w:val="0"/>
        <w:numPr>
          <w:numId w:val="0"/>
        </w:numPr>
        <w:kinsoku/>
        <w:wordWrap/>
        <w:overflowPunct/>
        <w:topLinePunct w:val="0"/>
        <w:autoSpaceDE/>
        <w:autoSpaceDN/>
        <w:bidi w:val="0"/>
        <w:adjustRightInd/>
        <w:snapToGrid/>
        <w:spacing w:line="460" w:lineRule="exact"/>
        <w:textAlignment w:val="auto"/>
        <w:outlineLvl w:val="0"/>
        <w:rPr>
          <w:rFonts w:hint="default" w:ascii="仿宋" w:hAnsi="仿宋" w:eastAsia="仿宋"/>
          <w:b/>
          <w:sz w:val="32"/>
          <w:szCs w:val="32"/>
          <w:lang w:val="en-US" w:eastAsia="zh-CN"/>
        </w:rPr>
      </w:pPr>
      <w:r>
        <w:rPr>
          <w:rFonts w:hint="eastAsia" w:ascii="仿宋" w:hAnsi="仿宋" w:eastAsia="仿宋"/>
          <w:b/>
          <w:sz w:val="32"/>
          <w:szCs w:val="32"/>
          <w:lang w:val="en-US" w:eastAsia="zh-CN"/>
        </w:rPr>
        <w:t>3.</w:t>
      </w:r>
      <w:bookmarkStart w:id="0" w:name="_GoBack"/>
      <w:bookmarkEnd w:id="0"/>
      <w:r>
        <w:rPr>
          <w:rFonts w:hint="eastAsia" w:ascii="仿宋" w:hAnsi="仿宋" w:eastAsia="仿宋"/>
          <w:b/>
          <w:sz w:val="32"/>
          <w:szCs w:val="32"/>
          <w:lang w:val="en-US" w:eastAsia="zh-CN"/>
        </w:rPr>
        <w:t>修改后分图则</w:t>
      </w:r>
    </w:p>
    <w:p>
      <w:pPr>
        <w:pStyle w:val="8"/>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b/>
          <w:sz w:val="28"/>
          <w:szCs w:val="28"/>
          <w:lang w:val="en-US" w:eastAsia="zh-CN"/>
        </w:rPr>
      </w:pPr>
      <w:r>
        <w:drawing>
          <wp:anchor distT="0" distB="0" distL="114300" distR="114300" simplePos="0" relativeHeight="251659264" behindDoc="1" locked="0" layoutInCell="1" allowOverlap="1">
            <wp:simplePos x="0" y="0"/>
            <wp:positionH relativeFrom="column">
              <wp:posOffset>-1030605</wp:posOffset>
            </wp:positionH>
            <wp:positionV relativeFrom="paragraph">
              <wp:posOffset>1106170</wp:posOffset>
            </wp:positionV>
            <wp:extent cx="7773035" cy="5608955"/>
            <wp:effectExtent l="0" t="0" r="10795" b="18415"/>
            <wp:wrapNone/>
            <wp:docPr id="3" name="图片 2" descr="E:\2024年项目\1-论证项目\03-海外院\3-专家会后修改\图则\H-21修改后-Model.jpgH-21修改后-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2024年项目\1-论证项目\03-海外院\3-专家会后修改\图则\H-21修改后-Model.jpgH-21修改后-Model"/>
                    <pic:cNvPicPr>
                      <a:picLocks noChangeAspect="1"/>
                    </pic:cNvPicPr>
                  </pic:nvPicPr>
                  <pic:blipFill>
                    <a:blip r:embed="rId9"/>
                    <a:srcRect l="2850" t="606" r="565" b="799"/>
                    <a:stretch>
                      <a:fillRect/>
                    </a:stretch>
                  </pic:blipFill>
                  <pic:spPr>
                    <a:xfrm rot="-5400000">
                      <a:off x="0" y="0"/>
                      <a:ext cx="7773035" cy="5608955"/>
                    </a:xfrm>
                    <a:prstGeom prst="rect">
                      <a:avLst/>
                    </a:prstGeom>
                    <a:noFill/>
                    <a:ln>
                      <a:noFill/>
                    </a:ln>
                  </pic:spPr>
                </pic:pic>
              </a:graphicData>
            </a:graphic>
          </wp:anchor>
        </w:drawing>
      </w:r>
    </w:p>
    <w:p>
      <w:pPr>
        <w:pStyle w:val="8"/>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b/>
          <w:sz w:val="28"/>
          <w:szCs w:val="28"/>
          <w:lang w:val="en-US" w:eastAsia="zh-CN"/>
        </w:rPr>
      </w:pPr>
    </w:p>
    <w:sectPr>
      <w:pgSz w:w="12240" w:h="15839"/>
      <w:pgMar w:top="1440" w:right="1321" w:bottom="144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3BF3FC"/>
    <w:multiLevelType w:val="singleLevel"/>
    <w:tmpl w:val="F53BF3FC"/>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MzNlYmYxMWMyMjIxZjk4ZGE3YTcyZTEwYmFkNDQifQ=="/>
  </w:docVars>
  <w:rsids>
    <w:rsidRoot w:val="3AD335CD"/>
    <w:rsid w:val="01FB44F9"/>
    <w:rsid w:val="02526DFA"/>
    <w:rsid w:val="02EE51FD"/>
    <w:rsid w:val="032C3B50"/>
    <w:rsid w:val="05BA511A"/>
    <w:rsid w:val="06963CD6"/>
    <w:rsid w:val="08113128"/>
    <w:rsid w:val="08346DFF"/>
    <w:rsid w:val="08BE7BFD"/>
    <w:rsid w:val="0D4223FF"/>
    <w:rsid w:val="0D9E5453"/>
    <w:rsid w:val="0DC66FD5"/>
    <w:rsid w:val="0E23209D"/>
    <w:rsid w:val="0E9A187B"/>
    <w:rsid w:val="0EA6674A"/>
    <w:rsid w:val="0FCF5E7E"/>
    <w:rsid w:val="10227C89"/>
    <w:rsid w:val="109B71AD"/>
    <w:rsid w:val="10D43AB0"/>
    <w:rsid w:val="116F5EB2"/>
    <w:rsid w:val="11AE2BC6"/>
    <w:rsid w:val="12C72024"/>
    <w:rsid w:val="13EC5161"/>
    <w:rsid w:val="147C0400"/>
    <w:rsid w:val="17F83137"/>
    <w:rsid w:val="1C0F6F8E"/>
    <w:rsid w:val="1D0446FB"/>
    <w:rsid w:val="1D2642A2"/>
    <w:rsid w:val="1D581650"/>
    <w:rsid w:val="1DA055EC"/>
    <w:rsid w:val="1FDF43D5"/>
    <w:rsid w:val="203514F2"/>
    <w:rsid w:val="213D71B8"/>
    <w:rsid w:val="21A72901"/>
    <w:rsid w:val="22C6422F"/>
    <w:rsid w:val="23AD0AFB"/>
    <w:rsid w:val="2561024F"/>
    <w:rsid w:val="25762A3F"/>
    <w:rsid w:val="26050045"/>
    <w:rsid w:val="26547754"/>
    <w:rsid w:val="26A8437A"/>
    <w:rsid w:val="284E28FF"/>
    <w:rsid w:val="2888326C"/>
    <w:rsid w:val="2A15609F"/>
    <w:rsid w:val="2A7A040C"/>
    <w:rsid w:val="2AF46C69"/>
    <w:rsid w:val="2C8D06F8"/>
    <w:rsid w:val="2D4F0F99"/>
    <w:rsid w:val="2D6F01DD"/>
    <w:rsid w:val="2E7C55DB"/>
    <w:rsid w:val="2F487A4E"/>
    <w:rsid w:val="2F66661D"/>
    <w:rsid w:val="2F957803"/>
    <w:rsid w:val="30EE7236"/>
    <w:rsid w:val="311F33C6"/>
    <w:rsid w:val="320D41BA"/>
    <w:rsid w:val="32763BF0"/>
    <w:rsid w:val="32F36D89"/>
    <w:rsid w:val="35D6503C"/>
    <w:rsid w:val="391010AC"/>
    <w:rsid w:val="3A1E4BA3"/>
    <w:rsid w:val="3A4B581F"/>
    <w:rsid w:val="3AD335CD"/>
    <w:rsid w:val="3C2D6643"/>
    <w:rsid w:val="3C673E27"/>
    <w:rsid w:val="3C9245E1"/>
    <w:rsid w:val="3CD71513"/>
    <w:rsid w:val="3D4E2DFD"/>
    <w:rsid w:val="3D626353"/>
    <w:rsid w:val="3EE27A12"/>
    <w:rsid w:val="440576FA"/>
    <w:rsid w:val="44C116AD"/>
    <w:rsid w:val="45855AB2"/>
    <w:rsid w:val="47076305"/>
    <w:rsid w:val="47CB1B60"/>
    <w:rsid w:val="4A2765E1"/>
    <w:rsid w:val="4B430349"/>
    <w:rsid w:val="4B6E27ED"/>
    <w:rsid w:val="4CEF3824"/>
    <w:rsid w:val="4D152FBD"/>
    <w:rsid w:val="516725DD"/>
    <w:rsid w:val="539A3F36"/>
    <w:rsid w:val="53D76624"/>
    <w:rsid w:val="545D120B"/>
    <w:rsid w:val="55332C1A"/>
    <w:rsid w:val="55576D96"/>
    <w:rsid w:val="562D6438"/>
    <w:rsid w:val="57B00863"/>
    <w:rsid w:val="58D85495"/>
    <w:rsid w:val="58FD201B"/>
    <w:rsid w:val="5B2D665D"/>
    <w:rsid w:val="5BBA5FB8"/>
    <w:rsid w:val="5BF17917"/>
    <w:rsid w:val="5EBF6A54"/>
    <w:rsid w:val="617041C3"/>
    <w:rsid w:val="61B13300"/>
    <w:rsid w:val="63903DD4"/>
    <w:rsid w:val="646F6E83"/>
    <w:rsid w:val="64EC67FE"/>
    <w:rsid w:val="65177904"/>
    <w:rsid w:val="65CA7C7A"/>
    <w:rsid w:val="662633D3"/>
    <w:rsid w:val="66405E8A"/>
    <w:rsid w:val="66CA3C0A"/>
    <w:rsid w:val="67595859"/>
    <w:rsid w:val="68566E37"/>
    <w:rsid w:val="69C41F25"/>
    <w:rsid w:val="6BBD7C70"/>
    <w:rsid w:val="73BF2403"/>
    <w:rsid w:val="75480671"/>
    <w:rsid w:val="75946900"/>
    <w:rsid w:val="78550CFE"/>
    <w:rsid w:val="79F039A1"/>
    <w:rsid w:val="7A807CC3"/>
    <w:rsid w:val="7AFA3DF8"/>
    <w:rsid w:val="7B3A2533"/>
    <w:rsid w:val="7BEE7C78"/>
    <w:rsid w:val="7C057475"/>
    <w:rsid w:val="7D1142E9"/>
    <w:rsid w:val="7DF6773A"/>
    <w:rsid w:val="7F6A37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header"/>
    <w:basedOn w:val="1"/>
    <w:unhideWhenUsed/>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1201</Words>
  <Characters>1373</Characters>
  <Lines>0</Lines>
  <Paragraphs>0</Paragraphs>
  <TotalTime>0</TotalTime>
  <ScaleCrop>false</ScaleCrop>
  <LinksUpToDate>false</LinksUpToDate>
  <CharactersWithSpaces>1429</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2022-01-24T03:12:00Z</dcterms:created>
  <dc:creator>就想换个名字</dc:creator>
  <cp:lastModifiedBy>未定义</cp:lastModifiedBy>
  <cp:lastPrinted>2024-04-13T09:06:00Z</cp:lastPrinted>
  <dcterms:modified xsi:type="dcterms:W3CDTF">2024-04-15T08:52:00Z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26180B9D73C74174835E4B331D0B9F14</vt:lpwstr>
  </property>
</Properties>
</file>