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jc w:val="center"/>
        <w:rPr>
          <w:rFonts w:hint="eastAsia" w:ascii="黑体" w:hAnsi="ˎ̥" w:eastAsia="黑体"/>
          <w:sz w:val="44"/>
          <w:szCs w:val="44"/>
        </w:rPr>
      </w:pPr>
      <w:r>
        <w:rPr>
          <w:rFonts w:hint="eastAsia" w:ascii="黑体" w:hAnsi="ˎ̥" w:eastAsia="黑体"/>
          <w:sz w:val="44"/>
          <w:szCs w:val="44"/>
        </w:rPr>
        <w:t>文昌市财政预算评审中心202</w:t>
      </w:r>
      <w:r>
        <w:rPr>
          <w:rFonts w:hint="eastAsia" w:ascii="黑体" w:hAnsi="ˎ̥" w:eastAsia="黑体"/>
          <w:sz w:val="44"/>
          <w:szCs w:val="44"/>
          <w:lang w:val="en-US" w:eastAsia="zh-CN"/>
        </w:rPr>
        <w:t>3</w:t>
      </w:r>
      <w:r>
        <w:rPr>
          <w:rFonts w:hint="eastAsia" w:ascii="黑体" w:hAnsi="ˎ̥" w:eastAsia="黑体"/>
          <w:sz w:val="44"/>
          <w:szCs w:val="44"/>
        </w:rPr>
        <w:t>年度</w:t>
      </w:r>
    </w:p>
    <w:p>
      <w:pPr>
        <w:spacing w:before="100" w:beforeAutospacing="1" w:after="100" w:afterAutospacing="1"/>
        <w:jc w:val="center"/>
        <w:rPr>
          <w:rFonts w:hint="eastAsia" w:ascii="黑体" w:hAnsi="ˎ̥" w:eastAsia="黑体"/>
          <w:sz w:val="44"/>
          <w:szCs w:val="44"/>
        </w:rPr>
      </w:pPr>
      <w:r>
        <w:rPr>
          <w:rFonts w:hint="eastAsia" w:ascii="黑体" w:hAnsi="ˎ̥" w:eastAsia="黑体"/>
          <w:sz w:val="44"/>
          <w:szCs w:val="44"/>
        </w:rPr>
        <w:t>部门决算公开报告</w:t>
      </w:r>
    </w:p>
    <w:p>
      <w:pPr>
        <w:spacing w:before="100" w:beforeAutospacing="1" w:after="100" w:afterAutospacing="1"/>
        <w:rPr>
          <w:rFonts w:hint="eastAsia" w:ascii="黑体" w:hAnsi="ˎ̥" w:eastAsia="黑体"/>
          <w:sz w:val="44"/>
          <w:szCs w:val="44"/>
        </w:rPr>
      </w:pPr>
    </w:p>
    <w:p>
      <w:pPr>
        <w:spacing w:before="100" w:beforeAutospacing="1" w:after="100" w:afterAutospacing="1"/>
        <w:jc w:val="center"/>
        <w:rPr>
          <w:rFonts w:hint="eastAsia" w:ascii="黑体" w:hAnsi="ˎ̥" w:eastAsia="黑体"/>
          <w:b/>
          <w:sz w:val="32"/>
          <w:szCs w:val="32"/>
        </w:rPr>
      </w:pPr>
    </w:p>
    <w:p>
      <w:pPr>
        <w:spacing w:before="100" w:beforeAutospacing="1" w:after="100" w:afterAutospacing="1"/>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7"/>
        <w:tabs>
          <w:tab w:val="right" w:leader="dot" w:pos="8306"/>
        </w:tabs>
        <w:rPr>
          <w:sz w:val="32"/>
          <w:szCs w:val="32"/>
        </w:rPr>
      </w:pPr>
      <w:r>
        <w:rPr>
          <w:rFonts w:hint="eastAsia" w:ascii="黑体" w:hAnsi="ˎ̥" w:eastAsia="黑体"/>
          <w:sz w:val="32"/>
          <w:szCs w:val="32"/>
        </w:rPr>
        <w:t>第一部分 基本情况</w:t>
      </w:r>
      <w:r>
        <w:rPr>
          <w:sz w:val="32"/>
          <w:szCs w:val="32"/>
        </w:rPr>
        <w:tab/>
      </w:r>
      <w:r>
        <w:rPr>
          <w:sz w:val="32"/>
          <w:szCs w:val="32"/>
        </w:rPr>
        <w:t>3</w:t>
      </w:r>
    </w:p>
    <w:p>
      <w:pPr>
        <w:pStyle w:val="8"/>
        <w:tabs>
          <w:tab w:val="right" w:leader="dot" w:pos="8306"/>
        </w:tabs>
        <w:ind w:left="200"/>
        <w:rPr>
          <w:rFonts w:ascii="仿宋" w:hAnsi="仿宋" w:eastAsia="仿宋" w:cs="仿宋"/>
          <w:sz w:val="32"/>
          <w:szCs w:val="32"/>
        </w:rPr>
      </w:pP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p>
    <w:p>
      <w:pPr>
        <w:pStyle w:val="8"/>
        <w:tabs>
          <w:tab w:val="right" w:leader="dot" w:pos="8306"/>
        </w:tabs>
        <w:ind w:left="200"/>
        <w:rPr>
          <w:rFonts w:ascii="仿宋" w:hAnsi="仿宋" w:eastAsia="仿宋" w:cs="仿宋"/>
          <w:sz w:val="32"/>
          <w:szCs w:val="32"/>
        </w:rPr>
      </w:pP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p>
    <w:p>
      <w:pPr>
        <w:pStyle w:val="7"/>
        <w:tabs>
          <w:tab w:val="right" w:leader="dot" w:pos="8306"/>
        </w:tabs>
        <w:rPr>
          <w:sz w:val="32"/>
          <w:szCs w:val="32"/>
        </w:rPr>
      </w:pPr>
      <w:r>
        <w:rPr>
          <w:rFonts w:hint="eastAsia" w:ascii="黑体" w:hAnsi="ˎ̥" w:eastAsia="黑体"/>
          <w:sz w:val="32"/>
          <w:szCs w:val="32"/>
        </w:rPr>
        <w:t>第二部分  202</w:t>
      </w:r>
      <w:r>
        <w:rPr>
          <w:rFonts w:hint="eastAsia" w:ascii="黑体" w:hAnsi="ˎ̥" w:eastAsia="黑体"/>
          <w:sz w:val="32"/>
          <w:szCs w:val="32"/>
          <w:lang w:val="en-US" w:eastAsia="zh-CN"/>
        </w:rPr>
        <w:t>3</w:t>
      </w:r>
      <w:r>
        <w:rPr>
          <w:rFonts w:hint="eastAsia" w:ascii="黑体" w:hAnsi="ˎ̥" w:eastAsia="黑体"/>
          <w:sz w:val="32"/>
          <w:szCs w:val="32"/>
        </w:rPr>
        <w:t>年度部门决算公开表</w:t>
      </w:r>
      <w:r>
        <w:rPr>
          <w:sz w:val="32"/>
          <w:szCs w:val="32"/>
        </w:rPr>
        <w:tab/>
      </w:r>
      <w:r>
        <w:rPr>
          <w:sz w:val="32"/>
          <w:szCs w:val="32"/>
        </w:rPr>
        <w:t>3</w:t>
      </w:r>
    </w:p>
    <w:p>
      <w:pPr>
        <w:pStyle w:val="7"/>
        <w:tabs>
          <w:tab w:val="right" w:leader="dot" w:pos="8306"/>
        </w:tabs>
        <w:rPr>
          <w:sz w:val="32"/>
          <w:szCs w:val="32"/>
        </w:rPr>
      </w:pPr>
      <w:r>
        <w:rPr>
          <w:rFonts w:hint="eastAsia" w:ascii="黑体" w:hAnsi="黑体" w:eastAsia="黑体" w:cs="黑体"/>
          <w:sz w:val="32"/>
          <w:szCs w:val="32"/>
        </w:rPr>
        <w:t>第三部分</w:t>
      </w:r>
      <w:r>
        <w:rPr>
          <w:sz w:val="32"/>
          <w:szCs w:val="32"/>
        </w:rPr>
        <w:t xml:space="preserve">  </w:t>
      </w:r>
      <w:r>
        <w:rPr>
          <w:rFonts w:hint="eastAsia" w:ascii="黑体" w:hAnsi="ˎ̥" w:eastAsia="黑体"/>
          <w:sz w:val="32"/>
          <w:szCs w:val="32"/>
        </w:rPr>
        <w:t>202</w:t>
      </w:r>
      <w:r>
        <w:rPr>
          <w:rFonts w:hint="eastAsia" w:ascii="黑体" w:hAnsi="ˎ̥" w:eastAsia="黑体"/>
          <w:sz w:val="32"/>
          <w:szCs w:val="32"/>
          <w:lang w:val="en-US" w:eastAsia="zh-CN"/>
        </w:rPr>
        <w:t>3</w:t>
      </w:r>
      <w:r>
        <w:rPr>
          <w:rFonts w:hint="eastAsia" w:ascii="黑体" w:hAnsi="ˎ̥" w:eastAsia="黑体"/>
          <w:sz w:val="32"/>
          <w:szCs w:val="32"/>
        </w:rPr>
        <w:t>年度部门决算情况说明</w:t>
      </w:r>
      <w:r>
        <w:rPr>
          <w:sz w:val="32"/>
          <w:szCs w:val="32"/>
        </w:rPr>
        <w:tab/>
      </w:r>
      <w:r>
        <w:rPr>
          <w:sz w:val="32"/>
          <w:szCs w:val="32"/>
        </w:rPr>
        <w:t>4</w:t>
      </w:r>
    </w:p>
    <w:p>
      <w:pPr>
        <w:pStyle w:val="8"/>
        <w:tabs>
          <w:tab w:val="right" w:leader="dot" w:pos="8306"/>
        </w:tabs>
        <w:ind w:left="200"/>
        <w:rPr>
          <w:rFonts w:ascii="仿宋" w:hAnsi="仿宋" w:eastAsia="仿宋" w:cs="仿宋"/>
          <w:sz w:val="32"/>
          <w:szCs w:val="32"/>
        </w:rPr>
      </w:pP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t>4</w:t>
      </w:r>
    </w:p>
    <w:p>
      <w:pPr>
        <w:pStyle w:val="8"/>
        <w:tabs>
          <w:tab w:val="right" w:leader="dot" w:pos="8306"/>
        </w:tabs>
        <w:ind w:left="200"/>
        <w:rPr>
          <w:rFonts w:ascii="仿宋" w:hAnsi="仿宋" w:eastAsia="仿宋" w:cs="仿宋"/>
          <w:sz w:val="32"/>
          <w:szCs w:val="32"/>
        </w:rPr>
      </w:pP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8"/>
        <w:tabs>
          <w:tab w:val="right" w:leader="dot" w:pos="8306"/>
        </w:tabs>
        <w:ind w:left="200"/>
        <w:rPr>
          <w:rFonts w:ascii="仿宋" w:hAnsi="仿宋" w:eastAsia="仿宋" w:cs="仿宋"/>
          <w:sz w:val="32"/>
          <w:szCs w:val="32"/>
        </w:rPr>
      </w:pP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8"/>
        <w:tabs>
          <w:tab w:val="right" w:leader="dot" w:pos="8306"/>
        </w:tabs>
        <w:ind w:left="200"/>
        <w:rPr>
          <w:rFonts w:ascii="仿宋" w:hAnsi="仿宋" w:eastAsia="仿宋" w:cs="仿宋"/>
          <w:sz w:val="32"/>
          <w:szCs w:val="32"/>
        </w:rPr>
      </w:pP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8"/>
        <w:tabs>
          <w:tab w:val="right" w:leader="dot" w:pos="8306"/>
        </w:tabs>
        <w:ind w:left="200"/>
        <w:rPr>
          <w:rFonts w:ascii="仿宋" w:hAnsi="仿宋" w:eastAsia="仿宋" w:cs="仿宋"/>
          <w:sz w:val="32"/>
          <w:szCs w:val="32"/>
        </w:rPr>
      </w:pP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p>
    <w:p>
      <w:pPr>
        <w:pStyle w:val="8"/>
        <w:numPr>
          <w:ilvl w:val="0"/>
          <w:numId w:val="1"/>
        </w:numPr>
        <w:tabs>
          <w:tab w:val="left" w:pos="7563"/>
          <w:tab w:val="right" w:leader="dot" w:pos="8306"/>
        </w:tabs>
        <w:rPr>
          <w:rFonts w:hint="default" w:ascii="仿宋" w:hAnsi="仿宋" w:eastAsia="仿宋" w:cs="仿宋"/>
          <w:sz w:val="32"/>
          <w:szCs w:val="32"/>
          <w:lang w:val="en-US"/>
        </w:rPr>
      </w:pPr>
      <w:r>
        <w:rPr>
          <w:rFonts w:hint="eastAsia" w:ascii="仿宋" w:hAnsi="仿宋" w:eastAsia="仿宋" w:cs="仿宋"/>
          <w:bCs/>
          <w:sz w:val="32"/>
          <w:szCs w:val="32"/>
        </w:rPr>
        <w:t>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8"/>
        <w:tabs>
          <w:tab w:val="left" w:pos="7926"/>
          <w:tab w:val="right" w:leader="dot" w:pos="8306"/>
        </w:tabs>
        <w:ind w:left="200"/>
        <w:rPr>
          <w:rFonts w:hint="default" w:ascii="仿宋" w:hAnsi="仿宋" w:eastAsia="仿宋" w:cs="仿宋"/>
          <w:sz w:val="32"/>
          <w:szCs w:val="32"/>
          <w:lang w:val="en-US" w:eastAsia="zh-CN"/>
        </w:rPr>
      </w:pPr>
      <w:r>
        <w:rPr>
          <w:rFonts w:hint="eastAsia" w:ascii="仿宋" w:hAnsi="仿宋" w:eastAsia="仿宋" w:cs="仿宋"/>
          <w:bCs/>
          <w:sz w:val="32"/>
          <w:szCs w:val="32"/>
        </w:rPr>
        <w:t>七、政府性基金预算财政拨款收入支出决算情况说明</w:t>
      </w:r>
      <w:r>
        <w:rPr>
          <w:rFonts w:hint="eastAsia" w:ascii="仿宋" w:hAnsi="仿宋" w:eastAsia="仿宋" w:cs="仿宋"/>
          <w:bCs/>
          <w:sz w:val="32"/>
          <w:szCs w:val="32"/>
          <w:lang w:val="en-US" w:eastAsia="zh-CN"/>
        </w:rPr>
        <w:t>....</w:t>
      </w:r>
      <w:bookmarkStart w:id="119" w:name="_GoBack"/>
      <w:bookmarkEnd w:id="119"/>
      <w:r>
        <w:rPr>
          <w:rFonts w:hint="eastAsia" w:ascii="仿宋" w:hAnsi="仿宋" w:eastAsia="仿宋" w:cs="仿宋"/>
          <w:sz w:val="32"/>
          <w:szCs w:val="32"/>
          <w:lang w:val="en-US" w:eastAsia="zh-CN"/>
        </w:rPr>
        <w:t>10</w:t>
      </w:r>
    </w:p>
    <w:p>
      <w:pPr>
        <w:pStyle w:val="8"/>
        <w:tabs>
          <w:tab w:val="right" w:leader="dot" w:pos="8306"/>
        </w:tabs>
        <w:ind w:left="200"/>
        <w:rPr>
          <w:rFonts w:hint="default" w:ascii="仿宋" w:hAnsi="仿宋" w:eastAsia="仿宋" w:cs="仿宋"/>
          <w:sz w:val="32"/>
          <w:szCs w:val="32"/>
          <w:lang w:val="en-US" w:eastAsia="zh-CN"/>
        </w:rPr>
      </w:pPr>
      <w:r>
        <w:rPr>
          <w:rFonts w:hint="eastAsia" w:ascii="仿宋" w:hAnsi="仿宋" w:eastAsia="仿宋" w:cs="仿宋"/>
          <w:bCs/>
          <w:sz w:val="32"/>
          <w:szCs w:val="32"/>
        </w:rPr>
        <w:t>八、国有资本经营预算财政拨款收入支出决算情况说明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11</w:t>
      </w:r>
    </w:p>
    <w:p>
      <w:pPr>
        <w:pStyle w:val="8"/>
        <w:tabs>
          <w:tab w:val="right" w:leader="dot" w:pos="8306"/>
        </w:tabs>
        <w:ind w:left="200"/>
        <w:rPr>
          <w:rFonts w:hint="default" w:ascii="仿宋" w:hAnsi="仿宋" w:eastAsia="仿宋" w:cs="仿宋"/>
          <w:sz w:val="32"/>
          <w:szCs w:val="32"/>
          <w:lang w:val="en-US"/>
        </w:rPr>
      </w:pPr>
      <w:r>
        <w:rPr>
          <w:rFonts w:hint="eastAsia" w:ascii="仿宋" w:hAnsi="仿宋" w:eastAsia="仿宋" w:cs="仿宋"/>
          <w:bCs/>
          <w:sz w:val="32"/>
          <w:szCs w:val="32"/>
        </w:rPr>
        <w:t>九、财政拨款“三公”经费支出决算情况说明</w:t>
      </w:r>
      <w:r>
        <w:rPr>
          <w:rFonts w:hint="eastAsia" w:ascii="仿宋" w:hAnsi="仿宋" w:eastAsia="仿宋" w:cs="仿宋"/>
          <w:bCs/>
          <w:sz w:val="32"/>
          <w:szCs w:val="32"/>
          <w:lang w:val="en-US" w:eastAsia="zh-CN"/>
        </w:rPr>
        <w:t>..............12</w:t>
      </w:r>
    </w:p>
    <w:p>
      <w:pPr>
        <w:pStyle w:val="8"/>
        <w:tabs>
          <w:tab w:val="right" w:leader="dot" w:pos="8306"/>
        </w:tabs>
        <w:ind w:left="200"/>
        <w:rPr>
          <w:rFonts w:hint="eastAsia" w:ascii="仿宋" w:hAnsi="仿宋" w:eastAsia="仿宋" w:cs="仿宋"/>
          <w:sz w:val="32"/>
          <w:szCs w:val="32"/>
          <w:lang w:eastAsia="zh-CN"/>
        </w:rPr>
      </w:pP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2</w:t>
      </w:r>
    </w:p>
    <w:p>
      <w:pPr>
        <w:pStyle w:val="8"/>
        <w:tabs>
          <w:tab w:val="right" w:leader="dot" w:pos="8306"/>
        </w:tabs>
        <w:ind w:left="200"/>
        <w:rPr>
          <w:rFonts w:hint="eastAsia" w:ascii="仿宋" w:hAnsi="仿宋" w:eastAsia="仿宋" w:cs="仿宋"/>
          <w:sz w:val="32"/>
          <w:szCs w:val="32"/>
          <w:lang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3</w:t>
      </w:r>
    </w:p>
    <w:p>
      <w:pPr>
        <w:pStyle w:val="7"/>
        <w:tabs>
          <w:tab w:val="right" w:leader="dot" w:pos="8306"/>
        </w:tabs>
        <w:rPr>
          <w:rFonts w:hint="eastAsia" w:ascii="黑体" w:hAnsi="ˎ̥" w:eastAsia="宋体"/>
          <w:b/>
          <w:sz w:val="32"/>
          <w:szCs w:val="32"/>
          <w:lang w:eastAsia="zh-CN"/>
        </w:rPr>
      </w:pP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0"/>
      <w:bookmarkEnd w:id="1"/>
      <w:r>
        <w:rPr>
          <w:rFonts w:hint="eastAsia"/>
          <w:sz w:val="32"/>
          <w:szCs w:val="32"/>
          <w:lang w:val="en-US" w:eastAsia="zh-CN"/>
        </w:rPr>
        <w:t>4</w:t>
      </w:r>
    </w:p>
    <w:p>
      <w:pPr>
        <w:spacing w:before="100" w:beforeAutospacing="1" w:after="100" w:afterAutospacing="1"/>
        <w:jc w:val="center"/>
        <w:rPr>
          <w:rFonts w:hint="eastAsia" w:ascii="黑体" w:hAnsi="ˎ̥" w:eastAsia="黑体"/>
          <w:sz w:val="32"/>
          <w:szCs w:val="32"/>
        </w:rPr>
      </w:pPr>
      <w:bookmarkStart w:id="2" w:name="_Toc10049_WPSOffice_Level1"/>
      <w:bookmarkStart w:id="3" w:name="_Toc10720_WPSOffice_Level1"/>
      <w:bookmarkStart w:id="4" w:name="_Toc23465_WPSOffice_Level1"/>
      <w:bookmarkStart w:id="5" w:name="_Toc32433_WPSOffice_Level1"/>
      <w:bookmarkStart w:id="6" w:name="_Toc22941_WPSOffice_Level1"/>
      <w:bookmarkStart w:id="7" w:name="_Toc1704_WPSOffice_Level1"/>
      <w:bookmarkStart w:id="8" w:name="_Toc24238_WPSOffice_Level2"/>
      <w:bookmarkStart w:id="9" w:name="_Toc26580_WPSOffice_Level2"/>
      <w:bookmarkStart w:id="10" w:name="_Toc32622_WPSOffice_Level2"/>
      <w:bookmarkStart w:id="11" w:name="_Toc20274_WPSOffice_Level2"/>
      <w:bookmarkStart w:id="12" w:name="_Toc14159_WPSOffice_Level2"/>
      <w:bookmarkStart w:id="13" w:name="_Toc20205_WPSOffice_Level2"/>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p>
    <w:p>
      <w:pPr>
        <w:spacing w:before="100" w:beforeAutospacing="1" w:after="100" w:afterAutospacing="1"/>
        <w:jc w:val="center"/>
        <w:rPr>
          <w:rFonts w:hint="eastAsia" w:ascii="黑体" w:hAnsi="ˎ̥" w:eastAsia="黑体"/>
          <w:sz w:val="32"/>
          <w:szCs w:val="32"/>
        </w:rPr>
      </w:pPr>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pPr>
        <w:spacing w:before="100" w:beforeAutospacing="1" w:after="100" w:afterAutospacing="1"/>
        <w:ind w:firstLine="640" w:firstLineChars="200"/>
        <w:rPr>
          <w:rFonts w:ascii="楷体" w:hAnsi="楷体" w:eastAsia="楷体" w:cs="楷体"/>
          <w:sz w:val="32"/>
          <w:szCs w:val="32"/>
        </w:rPr>
      </w:pPr>
    </w:p>
    <w:p>
      <w:pPr>
        <w:spacing w:before="100" w:beforeAutospacing="1" w:after="100" w:afterAutospacing="1"/>
        <w:ind w:firstLine="640" w:firstLineChars="200"/>
        <w:rPr>
          <w:rFonts w:ascii="黑体" w:hAnsi="黑体" w:eastAsia="黑体" w:cs="黑体"/>
          <w:sz w:val="32"/>
          <w:szCs w:val="32"/>
        </w:rPr>
      </w:pPr>
      <w:r>
        <w:rPr>
          <w:rFonts w:hint="eastAsia" w:ascii="黑体" w:hAnsi="黑体" w:eastAsia="黑体" w:cs="黑体"/>
          <w:sz w:val="32"/>
          <w:szCs w:val="32"/>
        </w:rPr>
        <w:t>一、</w:t>
      </w:r>
      <w:bookmarkEnd w:id="8"/>
      <w:r>
        <w:rPr>
          <w:rFonts w:hint="eastAsia" w:ascii="黑体" w:hAnsi="黑体" w:eastAsia="黑体" w:cs="黑体"/>
          <w:sz w:val="32"/>
          <w:szCs w:val="32"/>
        </w:rPr>
        <w:t>单位职责</w:t>
      </w:r>
      <w:bookmarkEnd w:id="9"/>
      <w:bookmarkEnd w:id="10"/>
      <w:bookmarkEnd w:id="11"/>
      <w:bookmarkEnd w:id="12"/>
      <w:bookmarkEnd w:id="13"/>
    </w:p>
    <w:p>
      <w:pPr>
        <w:spacing w:before="100" w:beforeAutospacing="1" w:after="100" w:afterAutospacing="1"/>
        <w:ind w:firstLine="640" w:firstLineChars="200"/>
        <w:rPr>
          <w:rFonts w:ascii="仿宋" w:hAnsi="仿宋" w:eastAsia="仿宋" w:cs="黑体"/>
          <w:sz w:val="32"/>
          <w:szCs w:val="32"/>
        </w:rPr>
      </w:pPr>
      <w:r>
        <w:rPr>
          <w:rFonts w:hint="eastAsia" w:ascii="仿宋" w:hAnsi="仿宋" w:eastAsia="仿宋" w:cs="黑体"/>
          <w:sz w:val="32"/>
          <w:szCs w:val="32"/>
        </w:rPr>
        <w:t>文昌市财政</w:t>
      </w:r>
      <w:r>
        <w:rPr>
          <w:rFonts w:hint="eastAsia" w:ascii="仿宋" w:hAnsi="仿宋" w:eastAsia="仿宋" w:cs="黑体"/>
          <w:sz w:val="32"/>
          <w:szCs w:val="32"/>
          <w:lang w:eastAsia="zh-CN"/>
        </w:rPr>
        <w:t>预算</w:t>
      </w:r>
      <w:r>
        <w:rPr>
          <w:rFonts w:hint="eastAsia" w:ascii="仿宋" w:hAnsi="仿宋" w:eastAsia="仿宋" w:cs="黑体"/>
          <w:sz w:val="32"/>
          <w:szCs w:val="32"/>
        </w:rPr>
        <w:t>评审中心是隶属市财政局全额财政拨款公益一类事业单位，负责政府工程采购项目，财政投资重大建设项目的跟踪评审和财政专项资金的专项核查等相关工作。</w:t>
      </w:r>
    </w:p>
    <w:p>
      <w:pPr>
        <w:spacing w:before="100" w:beforeAutospacing="1" w:after="100" w:afterAutospacing="1"/>
        <w:ind w:firstLine="640" w:firstLineChars="200"/>
        <w:rPr>
          <w:rFonts w:ascii="黑体" w:hAnsi="黑体" w:eastAsia="黑体" w:cs="黑体"/>
          <w:sz w:val="32"/>
          <w:szCs w:val="32"/>
        </w:rPr>
      </w:pPr>
      <w:bookmarkStart w:id="14" w:name="_Toc24474_WPSOffice_Level2"/>
      <w:bookmarkStart w:id="15" w:name="_Toc6572_WPSOffice_Level2"/>
      <w:bookmarkStart w:id="16" w:name="_Toc24059_WPSOffice_Level2"/>
      <w:bookmarkStart w:id="17" w:name="_Toc17796_WPSOffice_Level2"/>
      <w:bookmarkStart w:id="18" w:name="_Toc4833_WPSOffice_Level2"/>
      <w:r>
        <w:rPr>
          <w:rFonts w:hint="eastAsia" w:ascii="黑体" w:hAnsi="黑体" w:eastAsia="黑体" w:cs="黑体"/>
          <w:sz w:val="32"/>
          <w:szCs w:val="32"/>
        </w:rPr>
        <w:t>二、机构设置</w:t>
      </w:r>
      <w:bookmarkEnd w:id="14"/>
      <w:bookmarkEnd w:id="15"/>
      <w:bookmarkEnd w:id="16"/>
      <w:bookmarkEnd w:id="17"/>
      <w:bookmarkEnd w:id="18"/>
      <w:bookmarkStart w:id="19" w:name="_Toc30451_WPSOffice_Level1"/>
      <w:bookmarkStart w:id="20" w:name="_Toc6234_WPSOffice_Level1"/>
      <w:bookmarkStart w:id="21" w:name="_Toc15521_WPSOffice_Level1"/>
      <w:bookmarkStart w:id="22" w:name="_Toc8164_WPSOffice_Level1"/>
      <w:bookmarkStart w:id="23" w:name="_Toc30690_WPSOffice_Level1"/>
      <w:bookmarkStart w:id="24" w:name="_Toc28253_WPSOffice_Level1"/>
      <w:bookmarkStart w:id="25" w:name="_Toc4029_WPSOffice_Level2"/>
      <w:bookmarkStart w:id="26" w:name="_Toc32695_WPSOffice_Level2"/>
      <w:bookmarkStart w:id="27" w:name="_Toc11518_WPSOffice_Level2"/>
      <w:bookmarkStart w:id="28" w:name="_Toc6211_WPSOffice_Level2"/>
      <w:bookmarkStart w:id="29" w:name="_Toc8867_WPSOffice_Level2"/>
      <w:bookmarkStart w:id="30" w:name="_Toc32472_WPSOffice_Level2"/>
    </w:p>
    <w:p>
      <w:pPr>
        <w:spacing w:before="100" w:beforeAutospacing="1" w:after="100" w:afterAutospacing="1"/>
        <w:ind w:firstLine="640" w:firstLineChars="200"/>
        <w:rPr>
          <w:rFonts w:ascii="仿宋" w:hAnsi="仿宋" w:eastAsia="仿宋" w:cs="黑体"/>
          <w:sz w:val="32"/>
          <w:szCs w:val="32"/>
        </w:rPr>
      </w:pPr>
      <w:r>
        <w:rPr>
          <w:rFonts w:hint="eastAsia" w:ascii="仿宋" w:hAnsi="仿宋" w:eastAsia="仿宋" w:cs="黑体"/>
          <w:sz w:val="32"/>
          <w:szCs w:val="32"/>
        </w:rPr>
        <w:t>文昌市财政</w:t>
      </w:r>
      <w:r>
        <w:rPr>
          <w:rFonts w:hint="eastAsia" w:ascii="仿宋" w:hAnsi="仿宋" w:eastAsia="仿宋" w:cs="黑体"/>
          <w:sz w:val="32"/>
          <w:szCs w:val="32"/>
          <w:lang w:eastAsia="zh-CN"/>
        </w:rPr>
        <w:t>预算</w:t>
      </w:r>
      <w:r>
        <w:rPr>
          <w:rFonts w:hint="eastAsia" w:ascii="仿宋" w:hAnsi="仿宋" w:eastAsia="仿宋" w:cs="黑体"/>
          <w:sz w:val="32"/>
          <w:szCs w:val="32"/>
        </w:rPr>
        <w:t>评审中心事业编制共</w:t>
      </w:r>
      <w:r>
        <w:rPr>
          <w:rFonts w:ascii="仿宋" w:hAnsi="仿宋" w:eastAsia="仿宋" w:cs="黑体"/>
          <w:sz w:val="32"/>
          <w:szCs w:val="32"/>
        </w:rPr>
        <w:t>13名，其中：主任1名，</w:t>
      </w:r>
      <w:r>
        <w:rPr>
          <w:rFonts w:hint="eastAsia" w:ascii="仿宋" w:hAnsi="仿宋" w:eastAsia="仿宋" w:cs="黑体"/>
          <w:sz w:val="32"/>
          <w:szCs w:val="32"/>
        </w:rPr>
        <w:t>副主任</w:t>
      </w:r>
      <w:r>
        <w:rPr>
          <w:rFonts w:ascii="仿宋" w:hAnsi="仿宋" w:eastAsia="仿宋" w:cs="黑体"/>
          <w:sz w:val="32"/>
          <w:szCs w:val="32"/>
        </w:rPr>
        <w:t>1</w:t>
      </w:r>
      <w:r>
        <w:rPr>
          <w:rFonts w:hint="eastAsia" w:ascii="仿宋" w:hAnsi="仿宋" w:eastAsia="仿宋" w:cs="黑体"/>
          <w:sz w:val="32"/>
          <w:szCs w:val="32"/>
        </w:rPr>
        <w:t>名，</w:t>
      </w:r>
      <w:r>
        <w:rPr>
          <w:rFonts w:ascii="仿宋" w:hAnsi="仿宋" w:eastAsia="仿宋" w:cs="黑体"/>
          <w:sz w:val="32"/>
          <w:szCs w:val="32"/>
        </w:rPr>
        <w:t>管理人员11名。</w:t>
      </w:r>
    </w:p>
    <w:p>
      <w:pPr>
        <w:spacing w:before="100" w:beforeAutospacing="1" w:after="100" w:afterAutospacing="1"/>
        <w:ind w:firstLine="640" w:firstLineChars="200"/>
        <w:rPr>
          <w:rFonts w:ascii="仿宋" w:hAnsi="仿宋" w:eastAsia="仿宋" w:cs="黑体"/>
          <w:sz w:val="32"/>
          <w:szCs w:val="32"/>
        </w:rPr>
      </w:pPr>
      <w:r>
        <w:rPr>
          <w:rFonts w:hint="eastAsia" w:ascii="仿宋" w:hAnsi="仿宋" w:eastAsia="仿宋" w:cs="黑体"/>
          <w:sz w:val="32"/>
          <w:szCs w:val="32"/>
        </w:rPr>
        <w:t>评审中心为纳入文昌市财政局</w:t>
      </w:r>
      <w:r>
        <w:rPr>
          <w:rFonts w:ascii="仿宋" w:hAnsi="仿宋" w:eastAsia="仿宋" w:cs="黑体"/>
          <w:sz w:val="32"/>
          <w:szCs w:val="32"/>
        </w:rPr>
        <w:t>202</w:t>
      </w:r>
      <w:r>
        <w:rPr>
          <w:rFonts w:hint="eastAsia" w:ascii="仿宋" w:hAnsi="仿宋" w:eastAsia="仿宋" w:cs="黑体"/>
          <w:sz w:val="32"/>
          <w:szCs w:val="32"/>
          <w:lang w:val="en-US" w:eastAsia="zh-CN"/>
        </w:rPr>
        <w:t>3</w:t>
      </w:r>
      <w:r>
        <w:rPr>
          <w:rFonts w:ascii="仿宋" w:hAnsi="仿宋" w:eastAsia="仿宋" w:cs="黑体"/>
          <w:sz w:val="32"/>
          <w:szCs w:val="32"/>
        </w:rPr>
        <w:t>年度部门决算编制范围的二级预算单位。</w:t>
      </w:r>
    </w:p>
    <w:p>
      <w:pPr>
        <w:spacing w:before="100" w:beforeAutospacing="1" w:after="100" w:afterAutospacing="1"/>
        <w:jc w:val="center"/>
        <w:rPr>
          <w:rFonts w:hint="eastAsia" w:ascii="黑体" w:hAnsi="ˎ̥" w:eastAsia="黑体"/>
          <w:sz w:val="32"/>
          <w:szCs w:val="32"/>
        </w:rPr>
      </w:pPr>
      <w:r>
        <w:rPr>
          <w:rFonts w:hint="eastAsia" w:ascii="黑体" w:hAnsi="ˎ̥" w:eastAsia="黑体"/>
          <w:sz w:val="32"/>
          <w:szCs w:val="32"/>
        </w:rPr>
        <w:t>第二部分  202</w:t>
      </w:r>
      <w:r>
        <w:rPr>
          <w:rFonts w:hint="eastAsia" w:ascii="黑体" w:hAnsi="ˎ̥" w:eastAsia="黑体"/>
          <w:sz w:val="32"/>
          <w:szCs w:val="32"/>
          <w:lang w:val="en-US" w:eastAsia="zh-CN"/>
        </w:rPr>
        <w:t>3</w:t>
      </w:r>
      <w:r>
        <w:rPr>
          <w:rFonts w:hint="eastAsia" w:ascii="黑体" w:hAnsi="ˎ̥" w:eastAsia="黑体"/>
          <w:sz w:val="32"/>
          <w:szCs w:val="32"/>
        </w:rPr>
        <w:t>年度部门决算公开报表</w:t>
      </w:r>
      <w:bookmarkEnd w:id="19"/>
      <w:bookmarkEnd w:id="20"/>
      <w:bookmarkEnd w:id="21"/>
      <w:bookmarkEnd w:id="22"/>
      <w:bookmarkEnd w:id="23"/>
      <w:bookmarkEnd w:id="24"/>
    </w:p>
    <w:p>
      <w:pPr>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一、收入支出决算公开表</w:t>
      </w:r>
      <w:bookmarkEnd w:id="25"/>
      <w:bookmarkEnd w:id="26"/>
      <w:bookmarkEnd w:id="27"/>
      <w:bookmarkEnd w:id="28"/>
      <w:bookmarkEnd w:id="29"/>
      <w:bookmarkEnd w:id="30"/>
    </w:p>
    <w:p>
      <w:pPr>
        <w:spacing w:before="100" w:beforeAutospacing="1" w:after="100" w:afterAutospacing="1"/>
        <w:ind w:firstLine="645"/>
        <w:rPr>
          <w:rFonts w:ascii="黑体" w:hAnsi="黑体" w:eastAsia="黑体" w:cs="黑体"/>
          <w:sz w:val="32"/>
          <w:szCs w:val="32"/>
        </w:rPr>
      </w:pPr>
      <w:bookmarkStart w:id="31" w:name="_Toc28622_WPSOffice_Level2"/>
      <w:bookmarkStart w:id="32" w:name="_Toc30334_WPSOffice_Level2"/>
      <w:bookmarkStart w:id="33" w:name="_Toc14349_WPSOffice_Level2"/>
      <w:bookmarkStart w:id="34" w:name="_Toc25608_WPSOffice_Level2"/>
      <w:bookmarkStart w:id="35" w:name="_Toc26621_WPSOffice_Level2"/>
      <w:bookmarkStart w:id="36" w:name="_Toc23139_WPSOffice_Level2"/>
      <w:r>
        <w:rPr>
          <w:rFonts w:hint="eastAsia" w:ascii="黑体" w:hAnsi="黑体" w:eastAsia="黑体" w:cs="黑体"/>
          <w:sz w:val="32"/>
          <w:szCs w:val="32"/>
        </w:rPr>
        <w:t>二、收入决算公开表</w:t>
      </w:r>
      <w:bookmarkEnd w:id="31"/>
      <w:bookmarkEnd w:id="32"/>
      <w:bookmarkEnd w:id="33"/>
      <w:bookmarkEnd w:id="34"/>
      <w:bookmarkEnd w:id="35"/>
      <w:bookmarkEnd w:id="36"/>
      <w:bookmarkStart w:id="37" w:name="_Toc3262_WPSOffice_Level2"/>
      <w:bookmarkStart w:id="38" w:name="_Toc17858_WPSOffice_Level2"/>
      <w:bookmarkStart w:id="39" w:name="_Toc13854_WPSOffice_Level2"/>
      <w:bookmarkStart w:id="40" w:name="_Toc5489_WPSOffice_Level2"/>
      <w:bookmarkStart w:id="41" w:name="_Toc14658_WPSOffice_Level2"/>
      <w:bookmarkStart w:id="42" w:name="_Toc17626_WPSOffice_Level2"/>
    </w:p>
    <w:p>
      <w:pPr>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三、支出决算公开表</w:t>
      </w:r>
      <w:bookmarkEnd w:id="37"/>
      <w:bookmarkEnd w:id="38"/>
      <w:bookmarkEnd w:id="39"/>
      <w:bookmarkEnd w:id="40"/>
      <w:bookmarkEnd w:id="41"/>
      <w:bookmarkEnd w:id="42"/>
      <w:bookmarkStart w:id="43" w:name="_Toc23591_WPSOffice_Level2"/>
      <w:bookmarkStart w:id="44" w:name="_Toc21415_WPSOffice_Level2"/>
      <w:bookmarkStart w:id="45" w:name="_Toc13701_WPSOffice_Level2"/>
      <w:bookmarkStart w:id="46" w:name="_Toc4265_WPSOffice_Level2"/>
      <w:bookmarkStart w:id="47" w:name="_Toc23493_WPSOffice_Level2"/>
      <w:bookmarkStart w:id="48" w:name="_Toc7988_WPSOffice_Level2"/>
    </w:p>
    <w:p>
      <w:pPr>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四、财政拨款收入支出决算公开表</w:t>
      </w:r>
      <w:bookmarkEnd w:id="43"/>
      <w:bookmarkEnd w:id="44"/>
      <w:bookmarkEnd w:id="45"/>
      <w:bookmarkEnd w:id="46"/>
      <w:bookmarkEnd w:id="47"/>
      <w:bookmarkEnd w:id="48"/>
    </w:p>
    <w:p>
      <w:pPr>
        <w:spacing w:before="100" w:beforeAutospacing="1" w:after="100" w:afterAutospacing="1"/>
        <w:ind w:firstLine="645"/>
        <w:rPr>
          <w:rFonts w:ascii="黑体" w:hAnsi="黑体" w:eastAsia="黑体" w:cs="黑体"/>
          <w:sz w:val="32"/>
          <w:szCs w:val="32"/>
        </w:rPr>
      </w:pPr>
      <w:bookmarkStart w:id="49" w:name="_Toc23829_WPSOffice_Level2"/>
      <w:bookmarkStart w:id="50" w:name="_Toc22783_WPSOffice_Level2"/>
      <w:bookmarkStart w:id="51" w:name="_Toc25166_WPSOffice_Level2"/>
      <w:bookmarkStart w:id="52" w:name="_Toc7879_WPSOffice_Level2"/>
      <w:bookmarkStart w:id="53" w:name="_Toc2158_WPSOffice_Level2"/>
      <w:bookmarkStart w:id="54" w:name="_Toc13516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bookmarkEnd w:id="53"/>
      <w:bookmarkEnd w:id="54"/>
      <w:bookmarkStart w:id="55" w:name="_Toc5343_WPSOffice_Level2"/>
      <w:bookmarkStart w:id="56" w:name="_Toc8373_WPSOffice_Level2"/>
      <w:bookmarkStart w:id="57" w:name="_Toc17833_WPSOffice_Level2"/>
      <w:bookmarkStart w:id="58" w:name="_Toc2632_WPSOffice_Level2"/>
      <w:bookmarkStart w:id="59" w:name="_Toc25362_WPSOffice_Level2"/>
      <w:bookmarkStart w:id="60" w:name="_Toc17283_WPSOffice_Level2"/>
    </w:p>
    <w:p>
      <w:pPr>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pPr>
        <w:spacing w:before="100" w:beforeAutospacing="1" w:after="100" w:afterAutospacing="1"/>
        <w:ind w:firstLine="640" w:firstLineChars="200"/>
        <w:rPr>
          <w:rFonts w:ascii="黑体" w:hAnsi="黑体" w:eastAsia="黑体" w:cs="黑体"/>
          <w:sz w:val="32"/>
          <w:szCs w:val="32"/>
        </w:rPr>
      </w:pPr>
      <w:bookmarkStart w:id="61" w:name="_Toc11799_WPSOffice_Level2"/>
      <w:bookmarkStart w:id="62" w:name="_Toc5594_WPSOffice_Level2"/>
      <w:bookmarkStart w:id="63" w:name="_Toc21310_WPSOffice_Level2"/>
      <w:bookmarkStart w:id="64" w:name="_Toc1533_WPSOffice_Level2"/>
      <w:bookmarkStart w:id="65" w:name="_Toc13345_WPSOffice_Level2"/>
      <w:bookmarkStart w:id="66" w:name="_Toc6020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pPr>
        <w:spacing w:before="100" w:beforeAutospacing="1" w:after="100" w:afterAutospacing="1"/>
        <w:ind w:firstLine="640" w:firstLineChars="20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pacing w:before="100" w:beforeAutospacing="1" w:after="100" w:afterAutospacing="1"/>
        <w:ind w:firstLine="640"/>
        <w:rPr>
          <w:rFonts w:ascii="黑体" w:hAnsi="黑体" w:eastAsia="黑体" w:cs="黑体"/>
          <w:sz w:val="32"/>
          <w:szCs w:val="32"/>
        </w:rPr>
      </w:pPr>
      <w:bookmarkStart w:id="67" w:name="_Toc1820_WPSOffice_Level2"/>
      <w:bookmarkStart w:id="68" w:name="_Toc9377_WPSOffice_Level2"/>
      <w:bookmarkStart w:id="69" w:name="_Toc19961_WPSOffice_Level2"/>
      <w:bookmarkStart w:id="70" w:name="_Toc29886_WPSOffice_Level2"/>
      <w:r>
        <w:rPr>
          <w:rFonts w:hint="eastAsia" w:ascii="黑体" w:hAnsi="黑体" w:eastAsia="黑体" w:cs="黑体"/>
          <w:sz w:val="32"/>
          <w:szCs w:val="32"/>
        </w:rPr>
        <w:t>九、财政拨款“三公”经费支出决算</w:t>
      </w:r>
      <w:bookmarkEnd w:id="67"/>
      <w:bookmarkEnd w:id="68"/>
      <w:bookmarkEnd w:id="69"/>
      <w:bookmarkEnd w:id="70"/>
      <w:r>
        <w:rPr>
          <w:rFonts w:hint="eastAsia" w:ascii="黑体" w:hAnsi="黑体" w:eastAsia="黑体" w:cs="黑体"/>
          <w:sz w:val="32"/>
          <w:szCs w:val="32"/>
        </w:rPr>
        <w:t>公开表</w:t>
      </w:r>
    </w:p>
    <w:p>
      <w:pPr>
        <w:spacing w:before="100" w:beforeAutospacing="1" w:after="100" w:afterAutospacing="1"/>
        <w:ind w:firstLine="640"/>
        <w:rPr>
          <w:rFonts w:ascii="黑体" w:hAnsi="黑体" w:eastAsia="黑体" w:cs="黑体"/>
          <w:sz w:val="32"/>
          <w:szCs w:val="32"/>
        </w:rPr>
      </w:pPr>
      <w:r>
        <w:rPr>
          <w:rFonts w:hint="eastAsia" w:ascii="黑体" w:hAnsi="黑体" w:eastAsia="黑体" w:cs="黑体"/>
          <w:w w:val="96"/>
          <w:sz w:val="32"/>
          <w:szCs w:val="32"/>
        </w:rPr>
        <w:t xml:space="preserve">以上报表见附件1。   </w:t>
      </w:r>
    </w:p>
    <w:p>
      <w:pPr>
        <w:spacing w:before="100" w:beforeAutospacing="1" w:after="100" w:afterAutospacing="1"/>
        <w:rPr>
          <w:rFonts w:ascii="黑体" w:hAnsi="黑体" w:eastAsia="黑体" w:cs="黑体"/>
          <w:sz w:val="32"/>
          <w:szCs w:val="32"/>
        </w:rPr>
      </w:pPr>
    </w:p>
    <w:p>
      <w:pPr>
        <w:spacing w:before="100" w:beforeAutospacing="1" w:after="100" w:afterAutospacing="1"/>
        <w:jc w:val="center"/>
        <w:rPr>
          <w:rFonts w:hint="eastAsia" w:ascii="黑体" w:hAnsi="ˎ̥" w:eastAsia="黑体"/>
          <w:sz w:val="32"/>
          <w:szCs w:val="32"/>
        </w:rPr>
      </w:pPr>
      <w:bookmarkStart w:id="71" w:name="_Toc31264_WPSOffice_Level1"/>
      <w:bookmarkStart w:id="72" w:name="_Toc27590_WPSOffice_Level1"/>
      <w:bookmarkStart w:id="73" w:name="_Toc16686_WPSOffice_Level1"/>
      <w:bookmarkStart w:id="74" w:name="_Toc28629_WPSOffice_Level1"/>
      <w:bookmarkStart w:id="75" w:name="_Toc4402_WPSOffice_Level1"/>
      <w:bookmarkStart w:id="76" w:name="_Toc29683_WPSOffice_Level1"/>
      <w:r>
        <w:rPr>
          <w:rFonts w:hint="eastAsia" w:ascii="黑体" w:hAnsi="ˎ̥" w:eastAsia="黑体"/>
          <w:sz w:val="32"/>
          <w:szCs w:val="32"/>
        </w:rPr>
        <w:t>第三部分  202</w:t>
      </w:r>
      <w:r>
        <w:rPr>
          <w:rFonts w:hint="eastAsia" w:ascii="黑体" w:hAnsi="ˎ̥" w:eastAsia="黑体"/>
          <w:sz w:val="32"/>
          <w:szCs w:val="32"/>
          <w:lang w:val="en-US" w:eastAsia="zh-CN"/>
        </w:rPr>
        <w:t>3</w:t>
      </w:r>
      <w:r>
        <w:rPr>
          <w:rFonts w:hint="eastAsia" w:ascii="黑体" w:hAnsi="ˎ̥" w:eastAsia="黑体"/>
          <w:sz w:val="32"/>
          <w:szCs w:val="32"/>
        </w:rPr>
        <w:t>年度部门决算情况说明</w:t>
      </w:r>
      <w:bookmarkEnd w:id="71"/>
      <w:bookmarkEnd w:id="72"/>
      <w:bookmarkEnd w:id="73"/>
      <w:bookmarkEnd w:id="74"/>
      <w:bookmarkEnd w:id="75"/>
      <w:bookmarkEnd w:id="76"/>
    </w:p>
    <w:p>
      <w:pPr>
        <w:spacing w:before="100" w:beforeAutospacing="1" w:after="100" w:afterAutospacing="1"/>
        <w:jc w:val="center"/>
        <w:rPr>
          <w:rFonts w:hint="eastAsia" w:ascii="黑体" w:hAnsi="ˎ̥" w:eastAsia="黑体"/>
          <w:sz w:val="32"/>
          <w:szCs w:val="32"/>
        </w:rPr>
      </w:pPr>
    </w:p>
    <w:p>
      <w:pPr>
        <w:spacing w:before="100" w:beforeAutospacing="1" w:after="100" w:afterAutospacing="1"/>
        <w:ind w:firstLine="640" w:firstLineChars="200"/>
        <w:rPr>
          <w:rFonts w:hint="eastAsia" w:ascii="仿宋_GB2312" w:hAnsi="ˎ̥" w:eastAsia="仿宋_GB2312"/>
          <w:color w:val="FF0000"/>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楷体_GB2312" w:hAnsi="ˎ̥" w:eastAsia="楷体_GB2312"/>
          <w:sz w:val="32"/>
          <w:szCs w:val="32"/>
          <w:lang w:val="en-US" w:eastAsia="zh-CN"/>
        </w:rPr>
        <w:t xml:space="preserve"> </w:t>
      </w: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年度收入总计</w:t>
      </w:r>
      <w:r>
        <w:rPr>
          <w:rFonts w:hint="eastAsia" w:ascii="仿宋_GB2312" w:eastAsia="仿宋_GB2312"/>
          <w:sz w:val="32"/>
          <w:szCs w:val="32"/>
          <w:lang w:val="en-US" w:eastAsia="zh-CN"/>
        </w:rPr>
        <w:t>223.85</w:t>
      </w:r>
      <w:r>
        <w:rPr>
          <w:rFonts w:hint="eastAsia" w:ascii="仿宋_GB2312" w:hAnsi="ˎ̥" w:eastAsia="仿宋_GB2312"/>
          <w:sz w:val="32"/>
          <w:szCs w:val="32"/>
        </w:rPr>
        <w:t>万元，支出总计</w:t>
      </w:r>
      <w:r>
        <w:rPr>
          <w:rFonts w:hint="eastAsia" w:ascii="仿宋_GB2312" w:eastAsia="仿宋_GB2312"/>
          <w:sz w:val="32"/>
          <w:szCs w:val="32"/>
          <w:lang w:val="en-US" w:eastAsia="zh-CN"/>
        </w:rPr>
        <w:t>223.85</w:t>
      </w:r>
      <w:r>
        <w:rPr>
          <w:rFonts w:hint="eastAsia" w:ascii="仿宋_GB2312" w:hAnsi="ˎ̥" w:eastAsia="仿宋_GB2312"/>
          <w:sz w:val="32"/>
          <w:szCs w:val="32"/>
        </w:rPr>
        <w:t>万元，与202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年度相比，收入、支出总计各增加</w:t>
      </w:r>
      <w:r>
        <w:rPr>
          <w:rFonts w:hint="eastAsia" w:ascii="仿宋_GB2312" w:hAnsi="ˎ̥" w:eastAsia="仿宋_GB2312"/>
          <w:sz w:val="32"/>
          <w:szCs w:val="32"/>
          <w:lang w:val="en-US" w:eastAsia="zh-CN"/>
        </w:rPr>
        <w:t>114.26</w:t>
      </w:r>
      <w:r>
        <w:rPr>
          <w:rFonts w:hint="eastAsia" w:ascii="仿宋_GB2312" w:hAnsi="ˎ̥" w:eastAsia="仿宋_GB2312"/>
          <w:sz w:val="32"/>
          <w:szCs w:val="32"/>
        </w:rPr>
        <w:t>万元，增长</w:t>
      </w:r>
      <w:r>
        <w:rPr>
          <w:rFonts w:hint="eastAsia" w:ascii="仿宋_GB2312" w:hAnsi="ˎ̥" w:eastAsia="仿宋_GB2312"/>
          <w:sz w:val="32"/>
          <w:szCs w:val="32"/>
          <w:lang w:val="en-US" w:eastAsia="zh-CN"/>
        </w:rPr>
        <w:t>104.26</w:t>
      </w:r>
      <w:r>
        <w:rPr>
          <w:rFonts w:hint="eastAsia" w:ascii="仿宋_GB2312" w:hAnsi="ˎ̥" w:eastAsia="仿宋_GB2312"/>
          <w:sz w:val="32"/>
          <w:szCs w:val="32"/>
        </w:rPr>
        <w:t>%。主要原因：</w:t>
      </w:r>
      <w:r>
        <w:rPr>
          <w:rFonts w:hint="eastAsia" w:ascii="仿宋_GB2312" w:hAnsi="ˎ̥" w:eastAsia="仿宋_GB2312"/>
          <w:color w:val="000000" w:themeColor="text1"/>
          <w:sz w:val="32"/>
          <w:szCs w:val="32"/>
          <w14:textFill>
            <w14:solidFill>
              <w14:schemeClr w14:val="tx1"/>
            </w14:solidFill>
          </w14:textFill>
        </w:rPr>
        <w:t>人员社保基数变化</w:t>
      </w:r>
      <w:r>
        <w:rPr>
          <w:rFonts w:hint="eastAsia" w:ascii="仿宋_GB2312" w:hAnsi="ˎ̥" w:eastAsia="仿宋_GB2312"/>
          <w:sz w:val="32"/>
          <w:szCs w:val="32"/>
        </w:rPr>
        <w:t>。使用非财政拨款结余</w:t>
      </w:r>
      <w:r>
        <w:rPr>
          <w:rFonts w:hint="eastAsia" w:ascii="仿宋_GB2312" w:eastAsia="仿宋_GB2312"/>
          <w:sz w:val="32"/>
          <w:szCs w:val="32"/>
        </w:rPr>
        <w:t>0.00</w:t>
      </w:r>
      <w:r>
        <w:rPr>
          <w:rFonts w:hint="eastAsia" w:ascii="仿宋_GB2312" w:hAnsi="ˎ̥" w:eastAsia="仿宋_GB2312"/>
          <w:sz w:val="32"/>
          <w:szCs w:val="32"/>
        </w:rPr>
        <w:t>万元，较202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年度决算数增加</w:t>
      </w:r>
      <w:r>
        <w:rPr>
          <w:rFonts w:ascii="仿宋_GB2312" w:hAnsi="ˎ̥" w:eastAsia="仿宋_GB2312"/>
          <w:sz w:val="32"/>
          <w:szCs w:val="32"/>
        </w:rPr>
        <w:t>0.00</w:t>
      </w:r>
      <w:r>
        <w:rPr>
          <w:rFonts w:hint="eastAsia" w:ascii="仿宋_GB2312" w:hAnsi="ˎ̥" w:eastAsia="仿宋_GB2312"/>
          <w:sz w:val="32"/>
          <w:szCs w:val="32"/>
        </w:rPr>
        <w:t>万元，主要原因是无该项收入。年初结转结余</w:t>
      </w:r>
      <w:r>
        <w:rPr>
          <w:rFonts w:hint="eastAsia" w:ascii="仿宋_GB2312" w:eastAsia="仿宋_GB2312"/>
          <w:sz w:val="32"/>
          <w:szCs w:val="32"/>
        </w:rPr>
        <w:t>0.00</w:t>
      </w:r>
      <w:r>
        <w:rPr>
          <w:rFonts w:hint="eastAsia" w:ascii="仿宋_GB2312" w:hAnsi="ˎ̥" w:eastAsia="仿宋_GB2312"/>
          <w:sz w:val="32"/>
          <w:szCs w:val="32"/>
        </w:rPr>
        <w:t>万元，主要是无该项收入。</w:t>
      </w:r>
    </w:p>
    <w:p>
      <w:pPr>
        <w:spacing w:before="100" w:beforeAutospacing="1" w:after="100" w:afterAutospacing="1"/>
        <w:rPr>
          <w:rFonts w:hint="eastAsia" w:ascii="仿宋_GB2312" w:hAnsi="ˎ̥" w:eastAsia="仿宋_GB2312"/>
          <w:sz w:val="32"/>
          <w:szCs w:val="32"/>
        </w:rPr>
      </w:pPr>
      <w:r>
        <w:rPr>
          <w:rFonts w:hint="eastAsia" w:ascii="仿宋_GB2312" w:hAnsi="ˎ̥" w:eastAsia="仿宋_GB2312"/>
          <w:sz w:val="32"/>
          <w:szCs w:val="32"/>
        </w:rPr>
        <w:t xml:space="preserve">   （注：202</w:t>
      </w:r>
      <w:r>
        <w:rPr>
          <w:rFonts w:hint="eastAsia" w:ascii="仿宋_GB2312" w:hAnsi="ˎ̥" w:eastAsia="仿宋_GB2312"/>
          <w:sz w:val="32"/>
          <w:szCs w:val="32"/>
          <w:lang w:val="en-US" w:eastAsia="zh-CN"/>
        </w:rPr>
        <w:t>3</w:t>
      </w:r>
      <w:r>
        <w:rPr>
          <w:rFonts w:hint="eastAsia" w:ascii="仿宋_GB2312" w:hAnsi="ˎ̥" w:eastAsia="仿宋_GB2312"/>
          <w:sz w:val="32"/>
          <w:szCs w:val="32"/>
        </w:rPr>
        <w:t>年度相关决算数据可取自附件财决公开01表；202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年度相关决算数据可取自202</w:t>
      </w:r>
      <w:r>
        <w:rPr>
          <w:rFonts w:hint="eastAsia" w:ascii="仿宋_GB2312" w:hAnsi="ˎ̥" w:eastAsia="仿宋_GB2312"/>
          <w:sz w:val="32"/>
          <w:szCs w:val="32"/>
          <w:lang w:val="en-US" w:eastAsia="zh-CN"/>
        </w:rPr>
        <w:t>2</w:t>
      </w:r>
      <w:r>
        <w:rPr>
          <w:rFonts w:hint="eastAsia" w:ascii="仿宋_GB2312" w:hAnsi="ˎ̥" w:eastAsia="仿宋_GB2312"/>
          <w:sz w:val="32"/>
          <w:szCs w:val="32"/>
        </w:rPr>
        <w:t>年度部门决算报表财决01表《收入支出决算总表》）</w:t>
      </w:r>
    </w:p>
    <w:p>
      <w:pPr>
        <w:spacing w:before="100" w:beforeAutospacing="1" w:after="100" w:afterAutospacing="1"/>
        <w:ind w:firstLine="640" w:firstLineChars="200"/>
        <w:rPr>
          <w:rFonts w:hint="eastAsia"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本年收入合计</w:t>
      </w:r>
      <w:r>
        <w:rPr>
          <w:rFonts w:hint="eastAsia" w:ascii="仿宋_GB2312" w:eastAsia="仿宋_GB2312"/>
          <w:sz w:val="32"/>
          <w:szCs w:val="32"/>
          <w:lang w:val="en-US" w:eastAsia="zh-CN"/>
        </w:rPr>
        <w:t>223.85</w:t>
      </w:r>
      <w:r>
        <w:rPr>
          <w:rFonts w:hint="eastAsia" w:ascii="仿宋_GB2312" w:hAnsi="ˎ̥" w:eastAsia="仿宋_GB2312"/>
          <w:sz w:val="32"/>
          <w:szCs w:val="32"/>
        </w:rPr>
        <w:t>万元，其中：财政拨款收入</w:t>
      </w:r>
      <w:r>
        <w:rPr>
          <w:rFonts w:hint="eastAsia" w:ascii="仿宋_GB2312" w:eastAsia="仿宋_GB2312"/>
          <w:sz w:val="32"/>
          <w:szCs w:val="32"/>
          <w:lang w:val="en-US" w:eastAsia="zh-CN"/>
        </w:rPr>
        <w:t>223.85</w:t>
      </w:r>
      <w:r>
        <w:rPr>
          <w:rFonts w:hint="eastAsia" w:ascii="仿宋_GB2312" w:hAnsi="ˎ̥" w:eastAsia="仿宋_GB2312"/>
          <w:sz w:val="32"/>
          <w:szCs w:val="32"/>
        </w:rPr>
        <w:t>万元，占1</w:t>
      </w:r>
      <w:r>
        <w:rPr>
          <w:rFonts w:ascii="仿宋_GB2312" w:hAnsi="ˎ̥" w:eastAsia="仿宋_GB2312"/>
          <w:sz w:val="32"/>
          <w:szCs w:val="32"/>
        </w:rPr>
        <w:t>00</w:t>
      </w:r>
      <w:r>
        <w:rPr>
          <w:rFonts w:hint="eastAsia" w:ascii="仿宋_GB2312" w:hAnsi="ˎ̥" w:eastAsia="仿宋_GB2312"/>
          <w:sz w:val="32"/>
          <w:szCs w:val="32"/>
        </w:rPr>
        <w:t>%；上级补助收入</w:t>
      </w:r>
      <w:r>
        <w:rPr>
          <w:rFonts w:hint="eastAsia" w:ascii="仿宋_GB2312" w:eastAsia="仿宋_GB2312"/>
          <w:sz w:val="32"/>
          <w:szCs w:val="32"/>
        </w:rPr>
        <w:t>0.00</w:t>
      </w:r>
      <w:r>
        <w:rPr>
          <w:rFonts w:hint="eastAsia" w:ascii="仿宋_GB2312" w:hAnsi="ˎ̥" w:eastAsia="仿宋_GB2312"/>
          <w:sz w:val="32"/>
          <w:szCs w:val="32"/>
        </w:rPr>
        <w:t>万元；事业收入</w:t>
      </w:r>
      <w:r>
        <w:rPr>
          <w:rFonts w:hint="eastAsia" w:ascii="仿宋_GB2312" w:eastAsia="仿宋_GB2312"/>
          <w:sz w:val="32"/>
          <w:szCs w:val="32"/>
        </w:rPr>
        <w:t>0.00</w:t>
      </w:r>
      <w:r>
        <w:rPr>
          <w:rFonts w:hint="eastAsia" w:ascii="仿宋_GB2312" w:hAnsi="ˎ̥" w:eastAsia="仿宋_GB2312"/>
          <w:sz w:val="32"/>
          <w:szCs w:val="32"/>
        </w:rPr>
        <w:t>万元；经营收入</w:t>
      </w:r>
      <w:r>
        <w:rPr>
          <w:rFonts w:hint="eastAsia" w:ascii="仿宋_GB2312" w:eastAsia="仿宋_GB2312"/>
          <w:sz w:val="32"/>
          <w:szCs w:val="32"/>
        </w:rPr>
        <w:t>0.00</w:t>
      </w:r>
      <w:r>
        <w:rPr>
          <w:rFonts w:hint="eastAsia" w:ascii="仿宋_GB2312" w:hAnsi="ˎ̥" w:eastAsia="仿宋_GB2312"/>
          <w:sz w:val="32"/>
          <w:szCs w:val="32"/>
        </w:rPr>
        <w:t>万元；附属单位上缴收入</w:t>
      </w:r>
      <w:r>
        <w:rPr>
          <w:rFonts w:hint="eastAsia" w:ascii="仿宋_GB2312" w:eastAsia="仿宋_GB2312"/>
          <w:sz w:val="32"/>
          <w:szCs w:val="32"/>
        </w:rPr>
        <w:t>0.00</w:t>
      </w:r>
      <w:r>
        <w:rPr>
          <w:rFonts w:hint="eastAsia" w:ascii="仿宋_GB2312" w:hAnsi="ˎ̥" w:eastAsia="仿宋_GB2312"/>
          <w:sz w:val="32"/>
          <w:szCs w:val="32"/>
        </w:rPr>
        <w:t>万元；其他收入</w:t>
      </w:r>
      <w:r>
        <w:rPr>
          <w:rFonts w:hint="eastAsia" w:ascii="仿宋_GB2312" w:eastAsia="仿宋_GB2312"/>
          <w:sz w:val="32"/>
          <w:szCs w:val="32"/>
        </w:rPr>
        <w:t>0.00</w:t>
      </w:r>
      <w:r>
        <w:rPr>
          <w:rFonts w:hint="eastAsia" w:ascii="仿宋_GB2312" w:hAnsi="ˎ̥" w:eastAsia="仿宋_GB2312"/>
          <w:sz w:val="32"/>
          <w:szCs w:val="32"/>
        </w:rPr>
        <w:t>万元。</w:t>
      </w:r>
    </w:p>
    <w:p>
      <w:pPr>
        <w:spacing w:before="100" w:beforeAutospacing="1" w:after="100" w:afterAutospacing="1"/>
        <w:ind w:left="470" w:leftChars="196"/>
        <w:rPr>
          <w:rFonts w:hint="eastAsia" w:ascii="仿宋_GB2312" w:hAnsi="ˎ̥" w:eastAsia="仿宋_GB2312"/>
          <w:sz w:val="32"/>
          <w:szCs w:val="32"/>
        </w:rPr>
      </w:pPr>
      <w:r>
        <w:rPr>
          <w:rFonts w:hint="eastAsia" w:ascii="仿宋_GB2312" w:hAnsi="ˎ̥" w:eastAsia="仿宋_GB2312"/>
          <w:sz w:val="32"/>
          <w:szCs w:val="32"/>
        </w:rPr>
        <w:t xml:space="preserve">  （注：上述各项收入数字可取自财决公开02表）</w:t>
      </w:r>
    </w:p>
    <w:p>
      <w:pPr>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三、支出决算情况说明</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w:t>
      </w:r>
      <w:r>
        <w:rPr>
          <w:rFonts w:hint="eastAsia" w:ascii="仿宋_GB2312" w:eastAsia="仿宋_GB2312"/>
          <w:sz w:val="32"/>
          <w:szCs w:val="32"/>
          <w:lang w:val="en-US" w:eastAsia="zh-CN"/>
        </w:rPr>
        <w:t>223.85</w:t>
      </w:r>
      <w:r>
        <w:rPr>
          <w:rFonts w:hint="eastAsia" w:ascii="仿宋_GB2312" w:hAnsi="ˎ̥" w:eastAsia="仿宋_GB2312"/>
          <w:sz w:val="32"/>
          <w:szCs w:val="32"/>
        </w:rPr>
        <w:t>万元，其中：基本支出</w:t>
      </w:r>
      <w:r>
        <w:rPr>
          <w:rFonts w:hint="eastAsia" w:ascii="仿宋_GB2312" w:eastAsia="仿宋_GB2312"/>
          <w:sz w:val="32"/>
          <w:szCs w:val="32"/>
          <w:lang w:val="en-US" w:eastAsia="zh-CN"/>
        </w:rPr>
        <w:t>223.85</w:t>
      </w:r>
      <w:r>
        <w:rPr>
          <w:rFonts w:hint="eastAsia" w:ascii="仿宋_GB2312" w:hAnsi="ˎ̥" w:eastAsia="仿宋_GB2312"/>
          <w:sz w:val="32"/>
          <w:szCs w:val="32"/>
        </w:rPr>
        <w:t>万元，占</w:t>
      </w:r>
      <w:r>
        <w:rPr>
          <w:rFonts w:hint="eastAsia" w:ascii="仿宋_GB2312" w:hAnsi="ˎ̥" w:eastAsia="仿宋_GB2312"/>
          <w:sz w:val="32"/>
          <w:szCs w:val="32"/>
          <w:lang w:val="en-US" w:eastAsia="zh-CN"/>
        </w:rPr>
        <w:t>100</w:t>
      </w:r>
      <w:r>
        <w:rPr>
          <w:rFonts w:hint="eastAsia" w:ascii="仿宋_GB2312" w:hAnsi="ˎ̥" w:eastAsia="仿宋_GB2312"/>
          <w:sz w:val="32"/>
          <w:szCs w:val="32"/>
        </w:rPr>
        <w:t>%；项目支出</w:t>
      </w:r>
      <w:r>
        <w:rPr>
          <w:rFonts w:hint="eastAsia" w:ascii="仿宋_GB2312" w:eastAsia="仿宋_GB2312"/>
          <w:sz w:val="32"/>
          <w:szCs w:val="32"/>
          <w:lang w:val="en-US" w:eastAsia="zh-CN"/>
        </w:rPr>
        <w:t>0.00</w:t>
      </w:r>
      <w:r>
        <w:rPr>
          <w:rFonts w:hint="eastAsia" w:ascii="仿宋_GB2312" w:hAnsi="ˎ̥" w:eastAsia="仿宋_GB2312"/>
          <w:sz w:val="32"/>
          <w:szCs w:val="32"/>
        </w:rPr>
        <w:t>万元；上缴上级支出</w:t>
      </w:r>
      <w:r>
        <w:rPr>
          <w:rFonts w:hint="eastAsia" w:ascii="仿宋_GB2312" w:eastAsia="仿宋_GB2312"/>
          <w:sz w:val="32"/>
          <w:szCs w:val="32"/>
        </w:rPr>
        <w:t>0.00</w:t>
      </w:r>
      <w:r>
        <w:rPr>
          <w:rFonts w:hint="eastAsia" w:ascii="仿宋_GB2312" w:hAnsi="ˎ̥" w:eastAsia="仿宋_GB2312"/>
          <w:sz w:val="32"/>
          <w:szCs w:val="32"/>
        </w:rPr>
        <w:t>万元；经营支出</w:t>
      </w:r>
      <w:r>
        <w:rPr>
          <w:rFonts w:hint="eastAsia" w:ascii="仿宋_GB2312" w:eastAsia="仿宋_GB2312"/>
          <w:sz w:val="32"/>
          <w:szCs w:val="32"/>
        </w:rPr>
        <w:t>0.00</w:t>
      </w:r>
      <w:r>
        <w:rPr>
          <w:rFonts w:hint="eastAsia" w:ascii="仿宋_GB2312" w:hAnsi="ˎ̥" w:eastAsia="仿宋_GB2312"/>
          <w:sz w:val="32"/>
          <w:szCs w:val="32"/>
        </w:rPr>
        <w:t>万元；对附属单位补助支出</w:t>
      </w:r>
      <w:r>
        <w:rPr>
          <w:rFonts w:hint="eastAsia" w:ascii="仿宋_GB2312" w:eastAsia="仿宋_GB2312"/>
          <w:sz w:val="32"/>
          <w:szCs w:val="32"/>
        </w:rPr>
        <w:t>0.00</w:t>
      </w:r>
      <w:r>
        <w:rPr>
          <w:rFonts w:hint="eastAsia" w:ascii="仿宋_GB2312" w:hAnsi="ˎ̥" w:eastAsia="仿宋_GB2312"/>
          <w:sz w:val="32"/>
          <w:szCs w:val="32"/>
        </w:rPr>
        <w:t>万元。</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（注：上述各项支出数字可取自财决公开03表）</w:t>
      </w:r>
    </w:p>
    <w:p>
      <w:pPr>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spacing w:before="100" w:beforeAutospacing="1" w:after="100" w:afterAutospacing="1"/>
        <w:ind w:firstLine="640" w:firstLineChars="200"/>
        <w:rPr>
          <w:rFonts w:hint="eastAsia" w:ascii="仿宋_GB2312" w:hAnsi="ˎ̥" w:eastAsia="仿宋_GB2312"/>
          <w:color w:val="FF0000"/>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年度财政拨款收入</w:t>
      </w:r>
      <w:r>
        <w:rPr>
          <w:rFonts w:hint="eastAsia" w:ascii="仿宋_GB2312" w:eastAsia="仿宋_GB2312"/>
          <w:sz w:val="32"/>
          <w:szCs w:val="32"/>
          <w:lang w:val="en-US" w:eastAsia="zh-CN"/>
        </w:rPr>
        <w:t>223.85</w:t>
      </w:r>
      <w:r>
        <w:rPr>
          <w:rFonts w:hint="eastAsia" w:ascii="仿宋_GB2312" w:hAnsi="ˎ̥" w:eastAsia="仿宋_GB2312"/>
          <w:sz w:val="32"/>
          <w:szCs w:val="32"/>
        </w:rPr>
        <w:t>万元，支出</w:t>
      </w:r>
      <w:r>
        <w:rPr>
          <w:rFonts w:hint="eastAsia" w:ascii="仿宋_GB2312" w:eastAsia="仿宋_GB2312"/>
          <w:sz w:val="32"/>
          <w:szCs w:val="32"/>
          <w:lang w:val="en-US" w:eastAsia="zh-CN"/>
        </w:rPr>
        <w:t>223.85</w:t>
      </w:r>
      <w:r>
        <w:rPr>
          <w:rFonts w:hint="eastAsia" w:ascii="仿宋_GB2312" w:hAnsi="ˎ̥" w:eastAsia="仿宋_GB2312"/>
          <w:sz w:val="32"/>
          <w:szCs w:val="32"/>
        </w:rPr>
        <w:t>万元。与202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年度相比，财政拨款收入、支出各</w:t>
      </w:r>
      <w:r>
        <w:rPr>
          <w:rFonts w:hint="eastAsia" w:ascii="仿宋_GB2312" w:hAnsi="ˎ̥" w:eastAsia="仿宋_GB2312"/>
          <w:color w:val="000000" w:themeColor="text1"/>
          <w:sz w:val="32"/>
          <w:szCs w:val="32"/>
          <w14:textFill>
            <w14:solidFill>
              <w14:schemeClr w14:val="tx1"/>
            </w14:solidFill>
          </w14:textFill>
        </w:rPr>
        <w:t>增加</w:t>
      </w:r>
      <w:r>
        <w:rPr>
          <w:rFonts w:hint="eastAsia" w:ascii="仿宋_GB2312" w:hAnsi="ˎ̥" w:eastAsia="仿宋_GB2312"/>
          <w:color w:val="000000" w:themeColor="text1"/>
          <w:sz w:val="32"/>
          <w:szCs w:val="32"/>
          <w:lang w:val="en-US" w:eastAsia="zh-CN"/>
          <w14:textFill>
            <w14:solidFill>
              <w14:schemeClr w14:val="tx1"/>
            </w14:solidFill>
          </w14:textFill>
        </w:rPr>
        <w:t>114.26</w:t>
      </w:r>
      <w:r>
        <w:rPr>
          <w:rFonts w:hint="eastAsia" w:ascii="仿宋_GB2312" w:hAnsi="ˎ̥" w:eastAsia="仿宋_GB2312"/>
          <w:color w:val="000000" w:themeColor="text1"/>
          <w:sz w:val="32"/>
          <w:szCs w:val="32"/>
          <w14:textFill>
            <w14:solidFill>
              <w14:schemeClr w14:val="tx1"/>
            </w14:solidFill>
          </w14:textFill>
        </w:rPr>
        <w:t>万元，</w:t>
      </w:r>
      <w:r>
        <w:rPr>
          <w:rFonts w:hint="eastAsia" w:ascii="仿宋_GB2312" w:hAnsi="ˎ̥" w:eastAsia="仿宋_GB2312"/>
          <w:sz w:val="32"/>
          <w:szCs w:val="32"/>
        </w:rPr>
        <w:t>增长</w:t>
      </w:r>
      <w:r>
        <w:rPr>
          <w:rFonts w:hint="eastAsia" w:ascii="仿宋_GB2312" w:hAnsi="ˎ̥" w:eastAsia="仿宋_GB2312"/>
          <w:sz w:val="32"/>
          <w:szCs w:val="32"/>
          <w:lang w:val="en-US" w:eastAsia="zh-CN"/>
        </w:rPr>
        <w:t>104.26</w:t>
      </w:r>
      <w:r>
        <w:rPr>
          <w:rFonts w:hint="eastAsia" w:ascii="仿宋_GB2312" w:hAnsi="ˎ̥" w:eastAsia="仿宋_GB2312"/>
          <w:sz w:val="32"/>
          <w:szCs w:val="32"/>
        </w:rPr>
        <w:t>%。主要原因：</w:t>
      </w:r>
      <w:r>
        <w:rPr>
          <w:rFonts w:hint="eastAsia" w:ascii="仿宋_GB2312" w:hAnsi="ˎ̥" w:eastAsia="仿宋_GB2312"/>
          <w:color w:val="000000" w:themeColor="text1"/>
          <w:sz w:val="32"/>
          <w:szCs w:val="32"/>
          <w14:textFill>
            <w14:solidFill>
              <w14:schemeClr w14:val="tx1"/>
            </w14:solidFill>
          </w14:textFill>
        </w:rPr>
        <w:t>人员</w:t>
      </w:r>
      <w:r>
        <w:rPr>
          <w:rFonts w:hint="eastAsia" w:ascii="仿宋_GB2312" w:hAnsi="ˎ̥" w:eastAsia="仿宋_GB2312"/>
          <w:color w:val="000000" w:themeColor="text1"/>
          <w:sz w:val="32"/>
          <w:szCs w:val="32"/>
          <w:lang w:eastAsia="zh-CN"/>
          <w14:textFill>
            <w14:solidFill>
              <w14:schemeClr w14:val="tx1"/>
            </w14:solidFill>
          </w14:textFill>
        </w:rPr>
        <w:t>招录、调动等数量</w:t>
      </w:r>
      <w:r>
        <w:rPr>
          <w:rFonts w:hint="eastAsia" w:ascii="仿宋_GB2312" w:hAnsi="ˎ̥" w:eastAsia="仿宋_GB2312"/>
          <w:color w:val="000000" w:themeColor="text1"/>
          <w:sz w:val="32"/>
          <w:szCs w:val="32"/>
          <w14:textFill>
            <w14:solidFill>
              <w14:schemeClr w14:val="tx1"/>
            </w14:solidFill>
          </w14:textFill>
        </w:rPr>
        <w:t>增加。</w:t>
      </w:r>
      <w:r>
        <w:rPr>
          <w:rFonts w:hint="eastAsia" w:ascii="仿宋_GB2312" w:hAnsi="ˎ̥" w:eastAsia="仿宋_GB2312"/>
          <w:color w:val="FF0000"/>
          <w:sz w:val="32"/>
          <w:szCs w:val="32"/>
        </w:rPr>
        <w:t xml:space="preserve"> </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财政拨款年初结转结余</w:t>
      </w:r>
      <w:r>
        <w:rPr>
          <w:rFonts w:hint="eastAsia" w:ascii="仿宋_GB2312" w:eastAsia="仿宋_GB2312"/>
          <w:sz w:val="32"/>
          <w:szCs w:val="32"/>
        </w:rPr>
        <w:t>0.00</w:t>
      </w:r>
      <w:r>
        <w:rPr>
          <w:rFonts w:hint="eastAsia" w:ascii="仿宋_GB2312" w:hAnsi="ˎ̥" w:eastAsia="仿宋_GB2312"/>
          <w:sz w:val="32"/>
          <w:szCs w:val="32"/>
        </w:rPr>
        <w:t>万元，主要是</w:t>
      </w:r>
      <w:r>
        <w:rPr>
          <w:rFonts w:hint="eastAsia" w:ascii="仿宋_GB2312" w:hAnsi="ˎ̥" w:eastAsia="仿宋_GB2312"/>
          <w:sz w:val="32"/>
          <w:szCs w:val="32"/>
          <w:lang w:eastAsia="zh-CN"/>
        </w:rPr>
        <w:t>根据</w:t>
      </w:r>
      <w:r>
        <w:rPr>
          <w:rFonts w:hint="eastAsia" w:ascii="仿宋_GB2312" w:hAnsi="ˎ̥" w:eastAsia="仿宋_GB2312"/>
          <w:sz w:val="32"/>
          <w:szCs w:val="32"/>
        </w:rPr>
        <w:t xml:space="preserve">财政政策要求结转， </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财政拨款年末结转结余</w:t>
      </w:r>
      <w:r>
        <w:rPr>
          <w:rFonts w:hint="eastAsia" w:ascii="仿宋_GB2312" w:eastAsia="仿宋_GB2312"/>
          <w:sz w:val="32"/>
          <w:szCs w:val="32"/>
        </w:rPr>
        <w:t>0.00</w:t>
      </w:r>
      <w:r>
        <w:rPr>
          <w:rFonts w:hint="eastAsia" w:ascii="仿宋_GB2312" w:hAnsi="ˎ̥" w:eastAsia="仿宋_GB2312"/>
          <w:sz w:val="32"/>
          <w:szCs w:val="32"/>
        </w:rPr>
        <w:t>万元，主要是</w:t>
      </w:r>
      <w:r>
        <w:rPr>
          <w:rFonts w:hint="eastAsia" w:ascii="仿宋_GB2312" w:hAnsi="ˎ̥" w:eastAsia="仿宋_GB2312"/>
          <w:sz w:val="32"/>
          <w:szCs w:val="32"/>
          <w:lang w:eastAsia="zh-CN"/>
        </w:rPr>
        <w:t>根据</w:t>
      </w:r>
      <w:r>
        <w:rPr>
          <w:rFonts w:hint="eastAsia" w:ascii="仿宋_GB2312" w:hAnsi="ˎ̥" w:eastAsia="仿宋_GB2312"/>
          <w:sz w:val="32"/>
          <w:szCs w:val="32"/>
        </w:rPr>
        <w:t>财政政策要求结余。</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（注：202</w:t>
      </w:r>
      <w:r>
        <w:rPr>
          <w:rFonts w:hint="eastAsia" w:ascii="仿宋_GB2312" w:hAnsi="ˎ̥" w:eastAsia="仿宋_GB2312"/>
          <w:sz w:val="32"/>
          <w:szCs w:val="32"/>
          <w:lang w:val="en-US" w:eastAsia="zh-CN"/>
        </w:rPr>
        <w:t>3</w:t>
      </w:r>
      <w:r>
        <w:rPr>
          <w:rFonts w:hint="eastAsia" w:ascii="仿宋_GB2312" w:hAnsi="ˎ̥" w:eastAsia="仿宋_GB2312"/>
          <w:sz w:val="32"/>
          <w:szCs w:val="32"/>
        </w:rPr>
        <w:t>年度决算相关数据可取自财决公开04表。202</w:t>
      </w:r>
      <w:r>
        <w:rPr>
          <w:rFonts w:hint="eastAsia" w:ascii="仿宋_GB2312" w:hAnsi="ˎ̥" w:eastAsia="仿宋_GB2312"/>
          <w:sz w:val="32"/>
          <w:szCs w:val="32"/>
          <w:lang w:val="en-US" w:eastAsia="zh-CN"/>
        </w:rPr>
        <w:t>2</w:t>
      </w:r>
      <w:r>
        <w:rPr>
          <w:rFonts w:hint="eastAsia" w:ascii="仿宋_GB2312" w:hAnsi="ˎ̥" w:eastAsia="仿宋_GB2312"/>
          <w:sz w:val="32"/>
          <w:szCs w:val="32"/>
        </w:rPr>
        <w:t>年度决算相关数据可取自202</w:t>
      </w:r>
      <w:r>
        <w:rPr>
          <w:rFonts w:hint="eastAsia" w:ascii="仿宋_GB2312" w:hAnsi="ˎ̥" w:eastAsia="仿宋_GB2312"/>
          <w:sz w:val="32"/>
          <w:szCs w:val="32"/>
          <w:lang w:val="en-US" w:eastAsia="zh-CN"/>
        </w:rPr>
        <w:t>2</w:t>
      </w:r>
      <w:r>
        <w:rPr>
          <w:rFonts w:hint="eastAsia" w:ascii="仿宋_GB2312" w:hAnsi="ˎ̥" w:eastAsia="仿宋_GB2312"/>
          <w:sz w:val="32"/>
          <w:szCs w:val="32"/>
        </w:rPr>
        <w:t>年度部门决算报表财决01-1表《财政拨款收入支出决算总表》）</w:t>
      </w:r>
    </w:p>
    <w:p>
      <w:pPr>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spacing w:before="100" w:beforeAutospacing="1" w:after="100" w:afterAutospacing="1"/>
        <w:ind w:firstLine="640" w:firstLineChars="200"/>
        <w:rPr>
          <w:rFonts w:ascii="楷体" w:hAnsi="楷体" w:eastAsia="楷体" w:cs="楷体"/>
          <w:sz w:val="32"/>
          <w:szCs w:val="32"/>
        </w:rPr>
      </w:pPr>
      <w:bookmarkStart w:id="77" w:name="_Toc13694_WPSOffice_Level2"/>
      <w:bookmarkStart w:id="78" w:name="_Toc17398_WPSOffice_Level2"/>
      <w:bookmarkStart w:id="79" w:name="_Toc9989_WPSOffice_Level2"/>
      <w:bookmarkStart w:id="80" w:name="_Toc23005_WPSOffice_Level2"/>
      <w:bookmarkStart w:id="81" w:name="_Toc21737_WPSOffice_Level2"/>
      <w:bookmarkStart w:id="82" w:name="_Toc19665_WPSOffice_Level2"/>
      <w:r>
        <w:rPr>
          <w:rFonts w:hint="eastAsia" w:ascii="楷体" w:hAnsi="楷体" w:eastAsia="楷体" w:cs="楷体"/>
          <w:sz w:val="32"/>
          <w:szCs w:val="32"/>
        </w:rPr>
        <w:t>（一）一般公共预算财政拨款支出决算总体情况</w:t>
      </w:r>
      <w:bookmarkEnd w:id="77"/>
      <w:bookmarkEnd w:id="78"/>
      <w:r>
        <w:rPr>
          <w:rFonts w:hint="eastAsia" w:ascii="楷体" w:hAnsi="楷体" w:eastAsia="楷体" w:cs="楷体"/>
          <w:sz w:val="32"/>
          <w:szCs w:val="32"/>
        </w:rPr>
        <w:t>。</w:t>
      </w:r>
      <w:bookmarkEnd w:id="79"/>
      <w:bookmarkEnd w:id="80"/>
      <w:bookmarkEnd w:id="81"/>
      <w:bookmarkEnd w:id="82"/>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w:t>
      </w:r>
      <w:r>
        <w:rPr>
          <w:rFonts w:hint="eastAsia" w:ascii="仿宋_GB2312" w:eastAsia="仿宋_GB2312"/>
          <w:sz w:val="32"/>
          <w:szCs w:val="32"/>
          <w:lang w:val="en-US" w:eastAsia="zh-CN"/>
        </w:rPr>
        <w:t>223.85</w:t>
      </w:r>
      <w:r>
        <w:rPr>
          <w:rFonts w:hint="eastAsia" w:ascii="仿宋_GB2312" w:hAnsi="ˎ̥" w:eastAsia="仿宋_GB2312"/>
          <w:sz w:val="32"/>
          <w:szCs w:val="32"/>
        </w:rPr>
        <w:t>万元，占本年支出合计的</w:t>
      </w:r>
      <w:r>
        <w:rPr>
          <w:rFonts w:ascii="仿宋_GB2312" w:hAnsi="ˎ̥" w:eastAsia="仿宋_GB2312"/>
          <w:sz w:val="32"/>
          <w:szCs w:val="32"/>
        </w:rPr>
        <w:t>100</w:t>
      </w:r>
      <w:r>
        <w:rPr>
          <w:rFonts w:hint="eastAsia" w:ascii="仿宋_GB2312" w:hAnsi="ˎ̥" w:eastAsia="仿宋_GB2312"/>
          <w:sz w:val="32"/>
          <w:szCs w:val="32"/>
        </w:rPr>
        <w:t>%。与202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年度相比，一般公共预算财政拨款支出增加</w:t>
      </w:r>
      <w:r>
        <w:rPr>
          <w:rFonts w:hint="eastAsia" w:ascii="仿宋_GB2312" w:hAnsi="ˎ̥" w:eastAsia="仿宋_GB2312"/>
          <w:sz w:val="32"/>
          <w:szCs w:val="32"/>
          <w:lang w:val="en-US" w:eastAsia="zh-CN"/>
        </w:rPr>
        <w:t>114.26</w:t>
      </w:r>
      <w:r>
        <w:rPr>
          <w:rFonts w:hint="eastAsia" w:ascii="仿宋_GB2312" w:hAnsi="ˎ̥" w:eastAsia="仿宋_GB2312"/>
          <w:sz w:val="32"/>
          <w:szCs w:val="32"/>
        </w:rPr>
        <w:t>万元，主要原因是</w:t>
      </w:r>
      <w:r>
        <w:rPr>
          <w:rFonts w:hint="eastAsia" w:ascii="仿宋_GB2312" w:hAnsi="ˎ̥" w:eastAsia="仿宋_GB2312"/>
          <w:color w:val="000000" w:themeColor="text1"/>
          <w:sz w:val="32"/>
          <w:szCs w:val="32"/>
          <w14:textFill>
            <w14:solidFill>
              <w14:schemeClr w14:val="tx1"/>
            </w14:solidFill>
          </w14:textFill>
        </w:rPr>
        <w:t>一般公共服务支出增加。</w:t>
      </w:r>
    </w:p>
    <w:p>
      <w:pPr>
        <w:spacing w:before="100" w:beforeAutospacing="1" w:after="100" w:afterAutospacing="1"/>
        <w:ind w:firstLine="640" w:firstLineChars="200"/>
        <w:rPr>
          <w:rFonts w:ascii="楷体" w:hAnsi="楷体" w:eastAsia="楷体" w:cs="楷体"/>
          <w:sz w:val="32"/>
          <w:szCs w:val="32"/>
        </w:rPr>
      </w:pPr>
      <w:bookmarkStart w:id="83" w:name="_Toc2711_WPSOffice_Level2"/>
      <w:bookmarkStart w:id="84" w:name="_Toc18793_WPSOffice_Level2"/>
      <w:bookmarkStart w:id="85" w:name="_Toc19075_WPSOffice_Level2"/>
      <w:bookmarkStart w:id="86" w:name="_Toc19535_WPSOffice_Level2"/>
      <w:bookmarkStart w:id="87" w:name="_Toc23864_WPSOffice_Level2"/>
      <w:bookmarkStart w:id="88" w:name="_Toc27767_WPSOffice_Level2"/>
      <w:r>
        <w:rPr>
          <w:rFonts w:hint="eastAsia" w:ascii="楷体" w:hAnsi="楷体" w:eastAsia="楷体" w:cs="楷体"/>
          <w:sz w:val="32"/>
          <w:szCs w:val="32"/>
        </w:rPr>
        <w:t>（二）一般公共预算财政拨款支出决算结构情况</w:t>
      </w:r>
      <w:bookmarkEnd w:id="83"/>
      <w:bookmarkEnd w:id="84"/>
      <w:r>
        <w:rPr>
          <w:rFonts w:hint="eastAsia" w:ascii="楷体" w:hAnsi="楷体" w:eastAsia="楷体" w:cs="楷体"/>
          <w:sz w:val="32"/>
          <w:szCs w:val="32"/>
        </w:rPr>
        <w:t>。</w:t>
      </w:r>
      <w:bookmarkEnd w:id="85"/>
      <w:bookmarkEnd w:id="86"/>
      <w:bookmarkEnd w:id="87"/>
      <w:bookmarkEnd w:id="88"/>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w:t>
      </w:r>
      <w:r>
        <w:rPr>
          <w:rFonts w:hint="eastAsia" w:ascii="仿宋_GB2312" w:eastAsia="仿宋_GB2312"/>
          <w:sz w:val="32"/>
          <w:szCs w:val="32"/>
          <w:lang w:val="en-US" w:eastAsia="zh-CN"/>
        </w:rPr>
        <w:t>223.85</w:t>
      </w:r>
      <w:r>
        <w:rPr>
          <w:rFonts w:hint="eastAsia" w:ascii="仿宋_GB2312" w:hAnsi="ˎ̥" w:eastAsia="仿宋_GB2312"/>
          <w:sz w:val="32"/>
          <w:szCs w:val="32"/>
        </w:rPr>
        <w:t>万元，主要用于以下方面：</w:t>
      </w:r>
      <w:r>
        <w:rPr>
          <w:rFonts w:hint="eastAsia" w:ascii="仿宋_GB2312" w:hAnsi="ˎ̥" w:eastAsia="仿宋_GB2312"/>
          <w:bCs/>
          <w:sz w:val="32"/>
          <w:szCs w:val="32"/>
        </w:rPr>
        <w:t>一般公共服务（类）</w:t>
      </w:r>
      <w:r>
        <w:rPr>
          <w:rFonts w:hint="eastAsia" w:ascii="仿宋_GB2312" w:hAnsi="ˎ̥" w:eastAsia="仿宋_GB2312"/>
          <w:sz w:val="32"/>
          <w:szCs w:val="32"/>
        </w:rPr>
        <w:t>支出</w:t>
      </w:r>
      <w:r>
        <w:rPr>
          <w:rFonts w:hint="eastAsia" w:ascii="仿宋_GB2312" w:hAnsi="ˎ̥" w:eastAsia="仿宋_GB2312"/>
          <w:sz w:val="32"/>
          <w:szCs w:val="32"/>
          <w:lang w:val="en-US" w:eastAsia="zh-CN"/>
        </w:rPr>
        <w:t>149.18</w:t>
      </w:r>
      <w:r>
        <w:rPr>
          <w:rFonts w:hint="eastAsia" w:ascii="仿宋_GB2312" w:hAnsi="ˎ̥" w:eastAsia="仿宋_GB2312"/>
          <w:sz w:val="32"/>
          <w:szCs w:val="32"/>
        </w:rPr>
        <w:t>万元，占</w:t>
      </w:r>
      <w:r>
        <w:rPr>
          <w:rFonts w:hint="eastAsia" w:ascii="仿宋_GB2312" w:hAnsi="ˎ̥" w:eastAsia="仿宋_GB2312"/>
          <w:sz w:val="32"/>
          <w:szCs w:val="32"/>
          <w:lang w:val="en-US" w:eastAsia="zh-CN"/>
        </w:rPr>
        <w:t>66.64</w:t>
      </w:r>
      <w:r>
        <w:rPr>
          <w:rFonts w:hint="eastAsia" w:ascii="仿宋_GB2312" w:hAnsi="ˎ̥" w:eastAsia="仿宋_GB2312"/>
          <w:sz w:val="32"/>
          <w:szCs w:val="32"/>
        </w:rPr>
        <w:t>%；</w:t>
      </w:r>
      <w:r>
        <w:rPr>
          <w:rFonts w:hint="eastAsia" w:ascii="仿宋_GB2312" w:hAnsi="ˎ̥" w:eastAsia="仿宋_GB2312"/>
          <w:bCs/>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37.34</w:t>
      </w:r>
      <w:r>
        <w:rPr>
          <w:rFonts w:hint="eastAsia" w:ascii="仿宋_GB2312" w:hAnsi="ˎ̥" w:eastAsia="仿宋_GB2312"/>
          <w:sz w:val="32"/>
          <w:szCs w:val="32"/>
        </w:rPr>
        <w:t>万元，占</w:t>
      </w:r>
      <w:r>
        <w:rPr>
          <w:rFonts w:hint="eastAsia" w:ascii="仿宋_GB2312" w:hAnsi="ˎ̥" w:eastAsia="仿宋_GB2312"/>
          <w:sz w:val="32"/>
          <w:szCs w:val="32"/>
          <w:lang w:val="en-US" w:eastAsia="zh-CN"/>
        </w:rPr>
        <w:t>16.68</w:t>
      </w:r>
      <w:r>
        <w:rPr>
          <w:rFonts w:hint="eastAsia" w:ascii="仿宋_GB2312" w:hAnsi="ˎ̥" w:eastAsia="仿宋_GB2312"/>
          <w:sz w:val="32"/>
          <w:szCs w:val="32"/>
        </w:rPr>
        <w:t>%；</w:t>
      </w:r>
      <w:r>
        <w:rPr>
          <w:rFonts w:hint="eastAsia" w:ascii="仿宋_GB2312" w:hAnsi="ˎ̥" w:eastAsia="仿宋_GB2312"/>
          <w:sz w:val="32"/>
          <w:szCs w:val="32"/>
          <w:lang w:eastAsia="zh-CN"/>
        </w:rPr>
        <w:t>卫生健康（类）支出</w:t>
      </w:r>
      <w:r>
        <w:rPr>
          <w:rFonts w:hint="eastAsia" w:ascii="仿宋_GB2312" w:hAnsi="ˎ̥" w:eastAsia="仿宋_GB2312"/>
          <w:sz w:val="32"/>
          <w:szCs w:val="32"/>
          <w:lang w:val="en-US" w:eastAsia="zh-CN"/>
        </w:rPr>
        <w:t>22.91万元，占10.23%；</w:t>
      </w:r>
      <w:r>
        <w:rPr>
          <w:rFonts w:hint="eastAsia" w:ascii="仿宋_GB2312" w:hAnsi="ˎ̥" w:eastAsia="仿宋_GB2312"/>
          <w:sz w:val="32"/>
          <w:szCs w:val="32"/>
        </w:rPr>
        <w:t>住房保障（类）支出</w:t>
      </w:r>
      <w:r>
        <w:rPr>
          <w:rFonts w:hint="eastAsia" w:ascii="仿宋_GB2312" w:hAnsi="ˎ̥" w:eastAsia="仿宋_GB2312"/>
          <w:sz w:val="32"/>
          <w:szCs w:val="32"/>
          <w:lang w:val="en-US" w:eastAsia="zh-CN"/>
        </w:rPr>
        <w:t>14.43</w:t>
      </w:r>
      <w:r>
        <w:rPr>
          <w:rFonts w:hint="eastAsia" w:ascii="仿宋_GB2312" w:hAnsi="ˎ̥" w:eastAsia="仿宋_GB2312"/>
          <w:sz w:val="32"/>
          <w:szCs w:val="32"/>
        </w:rPr>
        <w:t>万元，占</w:t>
      </w:r>
      <w:r>
        <w:rPr>
          <w:rFonts w:hint="eastAsia" w:ascii="仿宋_GB2312" w:hAnsi="ˎ̥" w:eastAsia="仿宋_GB2312"/>
          <w:sz w:val="32"/>
          <w:szCs w:val="32"/>
          <w:lang w:val="en-US" w:eastAsia="zh-CN"/>
        </w:rPr>
        <w:t>6.45</w:t>
      </w:r>
      <w:r>
        <w:rPr>
          <w:rFonts w:hint="eastAsia" w:ascii="仿宋_GB2312" w:hAnsi="ˎ̥" w:eastAsia="仿宋_GB2312"/>
          <w:sz w:val="32"/>
          <w:szCs w:val="32"/>
        </w:rPr>
        <w:t>%。</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（注：根据各部门（单位）实际支出涉及的支出功能分类类级科目填列）</w:t>
      </w:r>
    </w:p>
    <w:p>
      <w:pPr>
        <w:spacing w:before="100" w:beforeAutospacing="1" w:after="100" w:afterAutospacing="1"/>
        <w:ind w:firstLine="640" w:firstLineChars="200"/>
        <w:rPr>
          <w:rFonts w:ascii="楷体" w:hAnsi="楷体" w:eastAsia="楷体" w:cs="楷体"/>
          <w:sz w:val="32"/>
          <w:szCs w:val="32"/>
        </w:rPr>
      </w:pPr>
      <w:bookmarkStart w:id="89" w:name="_Toc15415_WPSOffice_Level2"/>
      <w:bookmarkStart w:id="90" w:name="_Toc22318_WPSOffice_Level2"/>
      <w:bookmarkStart w:id="91" w:name="_Toc21701_WPSOffice_Level2"/>
      <w:bookmarkStart w:id="92" w:name="_Toc9502_WPSOffice_Level2"/>
      <w:bookmarkStart w:id="93" w:name="_Toc25136_WPSOffice_Level2"/>
      <w:bookmarkStart w:id="94" w:name="_Toc29364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年度一般公共预算财政拨款支出年初预算为</w:t>
      </w:r>
      <w:r>
        <w:rPr>
          <w:rFonts w:hint="eastAsia" w:ascii="仿宋_GB2312" w:hAnsi="ˎ̥" w:eastAsia="仿宋_GB2312"/>
          <w:sz w:val="32"/>
          <w:szCs w:val="32"/>
          <w:lang w:val="en-US" w:eastAsia="zh-CN"/>
        </w:rPr>
        <w:t>223.85</w:t>
      </w:r>
      <w:r>
        <w:rPr>
          <w:rFonts w:hint="eastAsia" w:ascii="仿宋_GB2312" w:hAnsi="ˎ̥" w:eastAsia="仿宋_GB2312"/>
          <w:sz w:val="32"/>
          <w:szCs w:val="32"/>
        </w:rPr>
        <w:t>万元，支出决算为</w:t>
      </w:r>
      <w:r>
        <w:rPr>
          <w:rFonts w:hint="eastAsia" w:ascii="仿宋_GB2312" w:eastAsia="仿宋_GB2312"/>
          <w:sz w:val="32"/>
          <w:szCs w:val="32"/>
          <w:lang w:val="en-US" w:eastAsia="zh-CN"/>
        </w:rPr>
        <w:t>223.85</w:t>
      </w:r>
      <w:r>
        <w:rPr>
          <w:rFonts w:hint="eastAsia" w:ascii="仿宋_GB2312" w:hAnsi="ˎ̥" w:eastAsia="仿宋_GB2312"/>
          <w:sz w:val="32"/>
          <w:szCs w:val="32"/>
        </w:rPr>
        <w:t>万元，完成年初预算的</w:t>
      </w:r>
      <w:r>
        <w:rPr>
          <w:rFonts w:ascii="仿宋_GB2312" w:hAnsi="ˎ̥" w:eastAsia="仿宋_GB2312"/>
          <w:sz w:val="32"/>
          <w:szCs w:val="32"/>
        </w:rPr>
        <w:t>100</w:t>
      </w:r>
      <w:r>
        <w:rPr>
          <w:rFonts w:hint="eastAsia" w:ascii="仿宋_GB2312" w:hAnsi="ˎ̥" w:eastAsia="仿宋_GB2312"/>
          <w:sz w:val="32"/>
          <w:szCs w:val="32"/>
        </w:rPr>
        <w:t>%。其中：</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1.一般公共服务（类）财政事务（款）事业运行（项）。</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149.18</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149.18</w:t>
      </w:r>
      <w:r>
        <w:rPr>
          <w:rFonts w:hint="eastAsia" w:ascii="仿宋_GB2312" w:hAnsi="ˎ̥" w:eastAsia="仿宋_GB2312"/>
          <w:sz w:val="32"/>
          <w:szCs w:val="32"/>
        </w:rPr>
        <w:t>万元，完成年初预算的</w:t>
      </w:r>
      <w:r>
        <w:rPr>
          <w:rFonts w:ascii="仿宋_GB2312" w:hAnsi="ˎ̥" w:eastAsia="仿宋_GB2312"/>
          <w:sz w:val="32"/>
          <w:szCs w:val="32"/>
        </w:rPr>
        <w:t>100</w:t>
      </w:r>
      <w:r>
        <w:rPr>
          <w:rFonts w:hint="eastAsia" w:ascii="仿宋_GB2312" w:hAnsi="ˎ̥" w:eastAsia="仿宋_GB2312"/>
          <w:sz w:val="32"/>
          <w:szCs w:val="32"/>
        </w:rPr>
        <w:t>%。收支平衡。</w:t>
      </w:r>
    </w:p>
    <w:p>
      <w:pPr>
        <w:spacing w:before="100" w:beforeAutospacing="1" w:after="100" w:afterAutospacing="1"/>
        <w:ind w:firstLine="640" w:firstLineChars="200"/>
        <w:rPr>
          <w:rFonts w:hint="eastAsia" w:ascii="仿宋_GB2312" w:hAnsi="ˎ̥" w:eastAsia="仿宋_GB2312"/>
          <w:sz w:val="32"/>
          <w:szCs w:val="32"/>
        </w:rPr>
      </w:pPr>
      <w:r>
        <w:rPr>
          <w:rFonts w:ascii="仿宋_GB2312" w:hAnsi="ˎ̥" w:eastAsia="仿宋_GB2312"/>
          <w:sz w:val="32"/>
          <w:szCs w:val="32"/>
        </w:rPr>
        <w:t>2.一般公共服务（类）财政事务（款）其</w:t>
      </w:r>
      <w:r>
        <w:rPr>
          <w:rFonts w:hint="eastAsia" w:ascii="仿宋_GB2312" w:hAnsi="ˎ̥" w:eastAsia="仿宋_GB2312"/>
          <w:sz w:val="32"/>
          <w:szCs w:val="32"/>
        </w:rPr>
        <w:t>财政委托业务</w:t>
      </w:r>
      <w:r>
        <w:rPr>
          <w:rFonts w:ascii="仿宋_GB2312" w:hAnsi="ˎ̥" w:eastAsia="仿宋_GB2312"/>
          <w:sz w:val="32"/>
          <w:szCs w:val="32"/>
        </w:rPr>
        <w:t>支出（项）。</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0.00</w:t>
      </w:r>
      <w:r>
        <w:rPr>
          <w:rFonts w:ascii="仿宋_GB2312" w:hAnsi="ˎ̥" w:eastAsia="仿宋_GB2312"/>
          <w:sz w:val="32"/>
          <w:szCs w:val="32"/>
        </w:rPr>
        <w:t>万元，支出决算为</w:t>
      </w:r>
      <w:r>
        <w:rPr>
          <w:rFonts w:hint="eastAsia" w:ascii="仿宋_GB2312" w:hAnsi="ˎ̥" w:eastAsia="仿宋_GB2312"/>
          <w:sz w:val="32"/>
          <w:szCs w:val="32"/>
          <w:lang w:val="en-US" w:eastAsia="zh-CN"/>
        </w:rPr>
        <w:t>0.00</w:t>
      </w:r>
      <w:r>
        <w:rPr>
          <w:rFonts w:ascii="仿宋_GB2312" w:hAnsi="ˎ̥" w:eastAsia="仿宋_GB2312"/>
          <w:sz w:val="32"/>
          <w:szCs w:val="32"/>
        </w:rPr>
        <w:t>万元，完成年初预算的</w:t>
      </w:r>
      <w:r>
        <w:rPr>
          <w:rFonts w:hint="eastAsia" w:ascii="仿宋_GB2312" w:hAnsi="ˎ̥" w:eastAsia="仿宋_GB2312"/>
          <w:sz w:val="32"/>
          <w:szCs w:val="32"/>
          <w:lang w:val="en-US" w:eastAsia="zh-CN"/>
        </w:rPr>
        <w:t>0.00</w:t>
      </w:r>
      <w:r>
        <w:rPr>
          <w:rFonts w:ascii="仿宋_GB2312" w:hAnsi="ˎ̥" w:eastAsia="仿宋_GB2312"/>
          <w:sz w:val="32"/>
          <w:szCs w:val="32"/>
        </w:rPr>
        <w:t>%。收支平衡。</w:t>
      </w:r>
    </w:p>
    <w:p>
      <w:pPr>
        <w:spacing w:before="100" w:beforeAutospacing="1" w:after="100" w:afterAutospacing="1"/>
        <w:ind w:firstLine="480" w:firstLineChars="200"/>
        <w:rPr>
          <w:rFonts w:hint="eastAsia" w:ascii="仿宋_GB2312" w:hAnsi="ˎ̥" w:eastAsia="仿宋_GB2312"/>
          <w:sz w:val="32"/>
          <w:szCs w:val="32"/>
        </w:rPr>
      </w:pPr>
      <w:r>
        <w:t xml:space="preserve"> </w:t>
      </w:r>
      <w:r>
        <w:rPr>
          <w:rFonts w:ascii="仿宋_GB2312" w:hAnsi="ˎ̥" w:eastAsia="仿宋_GB2312"/>
          <w:sz w:val="32"/>
          <w:szCs w:val="32"/>
        </w:rPr>
        <w:t>3</w:t>
      </w:r>
      <w:r>
        <w:rPr>
          <w:rFonts w:hint="eastAsia" w:ascii="仿宋_GB2312" w:hAnsi="ˎ̥" w:eastAsia="仿宋_GB2312"/>
          <w:sz w:val="32"/>
          <w:szCs w:val="32"/>
        </w:rPr>
        <w:t>．</w:t>
      </w:r>
      <w:r>
        <w:rPr>
          <w:rFonts w:ascii="仿宋_GB2312" w:hAnsi="ˎ̥" w:eastAsia="仿宋_GB2312"/>
          <w:sz w:val="32"/>
          <w:szCs w:val="32"/>
        </w:rPr>
        <w:t>社会保障和就业支出（类）行政事业单位养老支出（款） 机关事业单位基本养老保险缴费支出（项）。</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37.34</w:t>
      </w:r>
      <w:r>
        <w:rPr>
          <w:rFonts w:ascii="仿宋_GB2312" w:hAnsi="ˎ̥" w:eastAsia="仿宋_GB2312"/>
          <w:sz w:val="32"/>
          <w:szCs w:val="32"/>
        </w:rPr>
        <w:t>万元，支出决算为</w:t>
      </w:r>
      <w:r>
        <w:rPr>
          <w:rFonts w:hint="eastAsia" w:ascii="仿宋_GB2312" w:hAnsi="ˎ̥" w:eastAsia="仿宋_GB2312"/>
          <w:sz w:val="32"/>
          <w:szCs w:val="32"/>
          <w:lang w:val="en-US" w:eastAsia="zh-CN"/>
        </w:rPr>
        <w:t>37.34</w:t>
      </w:r>
      <w:r>
        <w:rPr>
          <w:rFonts w:ascii="仿宋_GB2312" w:hAnsi="ˎ̥" w:eastAsia="仿宋_GB2312"/>
          <w:sz w:val="32"/>
          <w:szCs w:val="32"/>
        </w:rPr>
        <w:t>万元，完成年初预算的100%。收支平衡。</w:t>
      </w:r>
    </w:p>
    <w:p>
      <w:pPr>
        <w:spacing w:before="100" w:beforeAutospacing="1" w:after="100" w:afterAutospacing="1"/>
        <w:ind w:firstLine="640" w:firstLineChars="200"/>
        <w:rPr>
          <w:rFonts w:hint="eastAsia" w:ascii="仿宋_GB2312" w:hAnsi="ˎ̥" w:eastAsia="仿宋_GB2312"/>
          <w:sz w:val="32"/>
          <w:szCs w:val="32"/>
        </w:rPr>
      </w:pPr>
      <w:r>
        <w:rPr>
          <w:rFonts w:ascii="仿宋_GB2312" w:hAnsi="ˎ̥" w:eastAsia="仿宋_GB2312"/>
          <w:sz w:val="32"/>
          <w:szCs w:val="32"/>
        </w:rPr>
        <w:t>4.卫生健康支出（类）行政事业单位医疗（款）事业单位医疗（项）。</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7.97</w:t>
      </w:r>
      <w:r>
        <w:rPr>
          <w:rFonts w:ascii="仿宋_GB2312" w:hAnsi="ˎ̥" w:eastAsia="仿宋_GB2312"/>
          <w:sz w:val="32"/>
          <w:szCs w:val="32"/>
        </w:rPr>
        <w:t>万元，支出决算为</w:t>
      </w:r>
      <w:r>
        <w:rPr>
          <w:rFonts w:hint="eastAsia" w:ascii="仿宋_GB2312" w:hAnsi="ˎ̥" w:eastAsia="仿宋_GB2312"/>
          <w:sz w:val="32"/>
          <w:szCs w:val="32"/>
          <w:lang w:val="en-US" w:eastAsia="zh-CN"/>
        </w:rPr>
        <w:t>7.97</w:t>
      </w:r>
      <w:r>
        <w:rPr>
          <w:rFonts w:ascii="仿宋_GB2312" w:hAnsi="ˎ̥" w:eastAsia="仿宋_GB2312"/>
          <w:sz w:val="32"/>
          <w:szCs w:val="32"/>
        </w:rPr>
        <w:t>万元，完成年初预算的100%。收支平衡。</w:t>
      </w:r>
    </w:p>
    <w:p>
      <w:pPr>
        <w:spacing w:before="100" w:beforeAutospacing="1" w:after="100" w:afterAutospacing="1"/>
        <w:ind w:firstLine="640" w:firstLineChars="200"/>
        <w:rPr>
          <w:rFonts w:hint="eastAsia" w:ascii="仿宋_GB2312" w:hAnsi="ˎ̥" w:eastAsia="仿宋_GB2312"/>
          <w:sz w:val="32"/>
          <w:szCs w:val="32"/>
        </w:rPr>
      </w:pPr>
      <w:r>
        <w:rPr>
          <w:rFonts w:ascii="仿宋_GB2312" w:hAnsi="ˎ̥" w:eastAsia="仿宋_GB2312"/>
          <w:sz w:val="32"/>
          <w:szCs w:val="32"/>
        </w:rPr>
        <w:t>5.卫生健康支出（类）行政事业单位医疗（款）公务员医疗补助（项）。</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14.94</w:t>
      </w:r>
      <w:r>
        <w:rPr>
          <w:rFonts w:ascii="仿宋_GB2312" w:hAnsi="ˎ̥" w:eastAsia="仿宋_GB2312"/>
          <w:sz w:val="32"/>
          <w:szCs w:val="32"/>
        </w:rPr>
        <w:t>万元，支出决算为</w:t>
      </w:r>
      <w:r>
        <w:rPr>
          <w:rFonts w:hint="eastAsia" w:ascii="仿宋_GB2312" w:hAnsi="ˎ̥" w:eastAsia="仿宋_GB2312"/>
          <w:sz w:val="32"/>
          <w:szCs w:val="32"/>
          <w:lang w:val="en-US" w:eastAsia="zh-CN"/>
        </w:rPr>
        <w:t>14.94</w:t>
      </w:r>
      <w:r>
        <w:rPr>
          <w:rFonts w:ascii="仿宋_GB2312" w:hAnsi="ˎ̥" w:eastAsia="仿宋_GB2312"/>
          <w:sz w:val="32"/>
          <w:szCs w:val="32"/>
        </w:rPr>
        <w:t>万元，完成年初预算的100%。收支平衡。</w:t>
      </w:r>
    </w:p>
    <w:p>
      <w:pPr>
        <w:spacing w:before="100" w:beforeAutospacing="1" w:after="100" w:afterAutospacing="1"/>
        <w:ind w:firstLine="640" w:firstLineChars="200"/>
        <w:rPr>
          <w:rFonts w:hint="eastAsia" w:ascii="仿宋_GB2312" w:hAnsi="ˎ̥" w:eastAsia="仿宋_GB2312"/>
          <w:sz w:val="32"/>
          <w:szCs w:val="32"/>
        </w:rPr>
      </w:pPr>
      <w:r>
        <w:rPr>
          <w:rFonts w:ascii="仿宋_GB2312" w:hAnsi="ˎ̥" w:eastAsia="仿宋_GB2312"/>
          <w:sz w:val="32"/>
          <w:szCs w:val="32"/>
        </w:rPr>
        <w:t>6.住房保障支出（类）住房改革支出（款）住房公积金（项）。</w:t>
      </w:r>
    </w:p>
    <w:p>
      <w:pPr>
        <w:spacing w:before="100" w:beforeAutospacing="1" w:after="100" w:afterAutospacing="1"/>
        <w:ind w:firstLine="640" w:firstLineChars="200"/>
        <w:rPr>
          <w:rFonts w:hint="eastAsia" w:ascii="仿宋_GB2312" w:hAnsi="ˎ̥" w:eastAsia="仿宋_GB2312"/>
          <w:b/>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14.43</w:t>
      </w:r>
      <w:r>
        <w:rPr>
          <w:rFonts w:ascii="仿宋_GB2312" w:hAnsi="ˎ̥" w:eastAsia="仿宋_GB2312"/>
          <w:sz w:val="32"/>
          <w:szCs w:val="32"/>
        </w:rPr>
        <w:t>万元，支出决算为</w:t>
      </w:r>
      <w:r>
        <w:rPr>
          <w:rFonts w:hint="eastAsia" w:ascii="仿宋_GB2312" w:hAnsi="ˎ̥" w:eastAsia="仿宋_GB2312"/>
          <w:sz w:val="32"/>
          <w:szCs w:val="32"/>
          <w:lang w:val="en-US" w:eastAsia="zh-CN"/>
        </w:rPr>
        <w:t>14.43</w:t>
      </w:r>
      <w:r>
        <w:rPr>
          <w:rFonts w:ascii="仿宋_GB2312" w:hAnsi="ˎ̥" w:eastAsia="仿宋_GB2312"/>
          <w:sz w:val="32"/>
          <w:szCs w:val="32"/>
        </w:rPr>
        <w:t>万元，完成年初预算的100%。收支平衡。</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（注：本部分支出决算数字可取自财决公开05表，年初预算数可取自各部门（单位）年初预算大本，根据各部门（单位）实际支出涉及的支出功能分类项级科目填列）</w:t>
      </w:r>
    </w:p>
    <w:p>
      <w:pPr>
        <w:spacing w:before="100" w:beforeAutospacing="1" w:after="100" w:afterAutospacing="1"/>
        <w:ind w:firstLine="627" w:firstLineChars="196"/>
        <w:rPr>
          <w:rFonts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年度财政拨款基本支出</w:t>
      </w:r>
      <w:r>
        <w:rPr>
          <w:rFonts w:hint="eastAsia" w:ascii="仿宋_GB2312" w:eastAsia="仿宋_GB2312"/>
          <w:sz w:val="32"/>
          <w:szCs w:val="32"/>
          <w:lang w:val="en-US" w:eastAsia="zh-CN"/>
        </w:rPr>
        <w:t>223.85</w:t>
      </w:r>
      <w:r>
        <w:rPr>
          <w:rFonts w:hint="eastAsia" w:ascii="仿宋_GB2312" w:hAnsi="ˎ̥" w:eastAsia="仿宋_GB2312"/>
          <w:sz w:val="32"/>
          <w:szCs w:val="32"/>
        </w:rPr>
        <w:t>万元，其中：人员经费</w:t>
      </w:r>
      <w:r>
        <w:rPr>
          <w:rFonts w:hint="eastAsia" w:ascii="仿宋_GB2312" w:eastAsia="仿宋_GB2312"/>
          <w:sz w:val="32"/>
          <w:szCs w:val="32"/>
          <w:lang w:val="en-US" w:eastAsia="zh-CN"/>
        </w:rPr>
        <w:t>216.99</w:t>
      </w:r>
      <w:r>
        <w:rPr>
          <w:rFonts w:hint="eastAsia" w:ascii="仿宋_GB2312" w:hAnsi="ˎ̥" w:eastAsia="仿宋_GB2312"/>
          <w:sz w:val="32"/>
          <w:szCs w:val="32"/>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hint="eastAsia" w:ascii="仿宋_GB2312" w:eastAsia="仿宋_GB2312"/>
          <w:sz w:val="32"/>
          <w:szCs w:val="32"/>
          <w:lang w:val="en-US" w:eastAsia="zh-CN"/>
        </w:rPr>
        <w:t>6.86</w:t>
      </w:r>
      <w:r>
        <w:rPr>
          <w:rFonts w:hint="eastAsia" w:ascii="仿宋_GB2312" w:hAnsi="ˎ̥" w:eastAsia="仿宋_GB2312"/>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国家赔偿费用支出、对民间非营利组织和群众性自治组织补贴、经常性赠予、资本性赠予和其他支出。</w:t>
      </w:r>
    </w:p>
    <w:p>
      <w:pPr>
        <w:tabs>
          <w:tab w:val="center" w:pos="4473"/>
        </w:tabs>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（注：上述数字可取自财决公开06表，各部门（单位）根据实际支出情况，选列相应支出经济分类。）</w:t>
      </w:r>
    </w:p>
    <w:p>
      <w:pPr>
        <w:tabs>
          <w:tab w:val="center" w:pos="4473"/>
        </w:tabs>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（一）政府性基金预算财政拨款支出决算总体情况。</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年度政府性基金预算财政拨款支出</w:t>
      </w:r>
      <w:r>
        <w:rPr>
          <w:rFonts w:hint="eastAsia" w:ascii="仿宋_GB2312" w:eastAsia="仿宋_GB2312"/>
          <w:sz w:val="32"/>
          <w:szCs w:val="32"/>
        </w:rPr>
        <w:t>0.00</w:t>
      </w:r>
      <w:r>
        <w:rPr>
          <w:rFonts w:hint="eastAsia" w:ascii="仿宋_GB2312" w:hAnsi="ˎ̥" w:eastAsia="仿宋_GB2312"/>
          <w:sz w:val="32"/>
          <w:szCs w:val="32"/>
        </w:rPr>
        <w:t>万元，与202</w:t>
      </w:r>
      <w:r>
        <w:rPr>
          <w:rFonts w:hint="eastAsia" w:ascii="仿宋_GB2312" w:hAnsi="ˎ̥" w:eastAsia="仿宋_GB2312"/>
          <w:sz w:val="32"/>
          <w:szCs w:val="32"/>
          <w:lang w:val="en-US" w:eastAsia="zh-CN"/>
        </w:rPr>
        <w:t>2</w:t>
      </w:r>
      <w:r>
        <w:rPr>
          <w:rFonts w:hint="eastAsia" w:ascii="仿宋_GB2312" w:hAnsi="ˎ̥" w:eastAsia="仿宋_GB2312"/>
          <w:sz w:val="32"/>
          <w:szCs w:val="32"/>
        </w:rPr>
        <w:t>年度相比，政府性基金预算财政拨款支出没有变动，主要原因是无此项收入。</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（二）政府性基金预算财政拨款支出决算结构情况。</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无该项支出</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（注：根据各部门（单位）实际支出涉及的支出功能分类类级科目填列）</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（三）政府性基金预算财政拨款支出决算具体情况。</w:t>
      </w:r>
    </w:p>
    <w:p>
      <w:pPr>
        <w:tabs>
          <w:tab w:val="center" w:pos="4473"/>
        </w:tabs>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无该项支出</w:t>
      </w:r>
    </w:p>
    <w:p>
      <w:pPr>
        <w:tabs>
          <w:tab w:val="center" w:pos="4473"/>
        </w:tabs>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（注：根据各部门（单位）实际支出涉及的支出功能分类项级科目填列，本部分202</w:t>
      </w:r>
      <w:r>
        <w:rPr>
          <w:rFonts w:hint="eastAsia" w:ascii="仿宋_GB2312" w:hAnsi="ˎ̥" w:eastAsia="仿宋_GB2312"/>
          <w:sz w:val="32"/>
          <w:szCs w:val="32"/>
          <w:lang w:val="en-US" w:eastAsia="zh-CN"/>
        </w:rPr>
        <w:t>3</w:t>
      </w:r>
      <w:r>
        <w:rPr>
          <w:rFonts w:hint="eastAsia" w:ascii="仿宋_GB2312" w:hAnsi="ˎ̥" w:eastAsia="仿宋_GB2312"/>
          <w:sz w:val="32"/>
          <w:szCs w:val="32"/>
        </w:rPr>
        <w:t>年决算相关数据取自财决公开07表；202</w:t>
      </w:r>
      <w:r>
        <w:rPr>
          <w:rFonts w:hint="eastAsia" w:ascii="仿宋_GB2312" w:hAnsi="ˎ̥" w:eastAsia="仿宋_GB2312"/>
          <w:sz w:val="32"/>
          <w:szCs w:val="32"/>
          <w:lang w:val="en-US" w:eastAsia="zh-CN"/>
        </w:rPr>
        <w:t>2</w:t>
      </w:r>
      <w:r>
        <w:rPr>
          <w:rFonts w:hint="eastAsia" w:ascii="仿宋_GB2312" w:hAnsi="ˎ̥" w:eastAsia="仿宋_GB2312"/>
          <w:sz w:val="32"/>
          <w:szCs w:val="32"/>
        </w:rPr>
        <w:t>年决算相关数据取自财决09表《政府性基金预算财政拨款收入支出决算表》）</w:t>
      </w:r>
    </w:p>
    <w:p>
      <w:pPr>
        <w:tabs>
          <w:tab w:val="center" w:pos="4473"/>
        </w:tabs>
        <w:spacing w:before="100" w:beforeAutospacing="1" w:after="100" w:afterAutospacing="1"/>
        <w:ind w:firstLine="640" w:firstLineChars="200"/>
        <w:rPr>
          <w:rFonts w:hint="eastAsia" w:ascii="仿宋_GB2312" w:hAnsi="ˎ̥" w:eastAsia="仿宋_GB2312"/>
          <w:sz w:val="32"/>
          <w:szCs w:val="32"/>
        </w:rPr>
      </w:pPr>
    </w:p>
    <w:p>
      <w:pPr>
        <w:tabs>
          <w:tab w:val="center" w:pos="4473"/>
        </w:tabs>
        <w:spacing w:before="100" w:beforeAutospacing="1" w:after="100" w:afterAutospacing="1"/>
        <w:ind w:firstLine="627" w:firstLineChars="196"/>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无该项支出</w:t>
      </w:r>
    </w:p>
    <w:p>
      <w:pPr>
        <w:spacing w:before="100" w:beforeAutospacing="1" w:after="100" w:afterAutospacing="1"/>
        <w:ind w:firstLine="640" w:firstLineChars="200"/>
        <w:rPr>
          <w:rFonts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spacing w:before="100" w:beforeAutospacing="1" w:after="100" w:afterAutospacing="1"/>
        <w:ind w:firstLine="640" w:firstLineChars="200"/>
        <w:rPr>
          <w:rFonts w:hint="eastAsia" w:ascii="楷体" w:hAnsi="楷体" w:eastAsia="楷体" w:cs="楷体"/>
          <w:sz w:val="32"/>
          <w:szCs w:val="32"/>
        </w:rPr>
      </w:pPr>
      <w:r>
        <w:rPr>
          <w:rFonts w:hint="eastAsia" w:ascii="楷体" w:hAnsi="楷体" w:eastAsia="楷体" w:cs="楷体"/>
          <w:sz w:val="32"/>
          <w:szCs w:val="32"/>
        </w:rPr>
        <w:t>无该项支出</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（注：根据各部门（单位）实际支出涉及的支出功能分类类级科目填列）</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（三）国有资本经营预算财政拨款支出决算具体情况。</w:t>
      </w:r>
    </w:p>
    <w:p>
      <w:pPr>
        <w:spacing w:before="100" w:beforeAutospacing="1" w:after="100" w:afterAutospacing="1"/>
        <w:ind w:firstLine="640" w:firstLineChars="200"/>
        <w:rPr>
          <w:rFonts w:hint="eastAsia" w:ascii="楷体" w:hAnsi="楷体" w:eastAsia="楷体" w:cs="楷体"/>
          <w:sz w:val="32"/>
          <w:szCs w:val="32"/>
        </w:rPr>
      </w:pPr>
      <w:r>
        <w:rPr>
          <w:rFonts w:hint="eastAsia" w:ascii="楷体" w:hAnsi="楷体" w:eastAsia="楷体" w:cs="楷体"/>
          <w:sz w:val="32"/>
          <w:szCs w:val="32"/>
        </w:rPr>
        <w:t>无该项支出</w:t>
      </w:r>
    </w:p>
    <w:p>
      <w:pPr>
        <w:tabs>
          <w:tab w:val="center" w:pos="4473"/>
        </w:tabs>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（注：根据各部门（单位）实际支出涉及的支出功能分类项级科目填列，本部分202</w:t>
      </w:r>
      <w:r>
        <w:rPr>
          <w:rFonts w:hint="eastAsia" w:ascii="仿宋_GB2312" w:hAnsi="ˎ̥" w:eastAsia="仿宋_GB2312"/>
          <w:sz w:val="32"/>
          <w:szCs w:val="32"/>
          <w:lang w:val="en-US" w:eastAsia="zh-CN"/>
        </w:rPr>
        <w:t>3</w:t>
      </w:r>
      <w:r>
        <w:rPr>
          <w:rFonts w:hint="eastAsia" w:ascii="仿宋_GB2312" w:hAnsi="ˎ̥" w:eastAsia="仿宋_GB2312"/>
          <w:sz w:val="32"/>
          <w:szCs w:val="32"/>
        </w:rPr>
        <w:t>年决算相关数据取自财决公开08表）。</w:t>
      </w:r>
    </w:p>
    <w:p>
      <w:pPr>
        <w:spacing w:before="100" w:beforeAutospacing="1" w:after="100" w:afterAutospacing="1"/>
        <w:ind w:firstLine="627" w:firstLineChars="196"/>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pPr>
        <w:spacing w:before="100" w:beforeAutospacing="1" w:after="100" w:afterAutospacing="1"/>
        <w:ind w:firstLine="640" w:firstLineChars="200"/>
        <w:rPr>
          <w:rFonts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pPr>
        <w:spacing w:before="100" w:beforeAutospacing="1" w:after="100" w:afterAutospacing="1"/>
        <w:rPr>
          <w:rFonts w:hint="eastAsia" w:ascii="仿宋_GB2312" w:hAnsi="ˎ̥" w:eastAsia="仿宋_GB2312"/>
          <w:sz w:val="32"/>
          <w:szCs w:val="32"/>
        </w:rPr>
      </w:pPr>
      <w:r>
        <w:rPr>
          <w:rFonts w:hint="eastAsia" w:ascii="仿宋_GB2312" w:hAnsi="ˎ̥" w:eastAsia="仿宋_GB2312"/>
          <w:sz w:val="32"/>
          <w:szCs w:val="32"/>
        </w:rPr>
        <w:t xml:space="preserve">    202</w:t>
      </w:r>
      <w:r>
        <w:rPr>
          <w:rFonts w:hint="eastAsia" w:ascii="仿宋_GB2312" w:hAnsi="ˎ̥" w:eastAsia="仿宋_GB2312"/>
          <w:sz w:val="32"/>
          <w:szCs w:val="32"/>
          <w:lang w:val="en-US" w:eastAsia="zh-CN"/>
        </w:rPr>
        <w:t>3</w:t>
      </w:r>
      <w:r>
        <w:rPr>
          <w:rFonts w:hint="eastAsia" w:ascii="仿宋_GB2312" w:hAnsi="ˎ̥" w:eastAsia="仿宋_GB2312"/>
          <w:sz w:val="32"/>
          <w:szCs w:val="32"/>
        </w:rPr>
        <w:t>年度财政拨款“三公”经费支出预算为</w:t>
      </w:r>
      <w:r>
        <w:rPr>
          <w:rFonts w:hint="eastAsia" w:ascii="仿宋_GB2312" w:eastAsia="仿宋_GB2312"/>
          <w:sz w:val="32"/>
          <w:szCs w:val="32"/>
        </w:rPr>
        <w:t>0.00</w:t>
      </w:r>
      <w:r>
        <w:rPr>
          <w:rFonts w:hint="eastAsia" w:ascii="仿宋_GB2312" w:hAnsi="ˎ̥" w:eastAsia="仿宋_GB2312"/>
          <w:sz w:val="32"/>
          <w:szCs w:val="32"/>
        </w:rPr>
        <w:t>万元，支出决算为</w:t>
      </w:r>
      <w:r>
        <w:rPr>
          <w:rFonts w:hint="eastAsia" w:ascii="仿宋_GB2312" w:eastAsia="仿宋_GB2312"/>
          <w:sz w:val="32"/>
          <w:szCs w:val="32"/>
        </w:rPr>
        <w:t>0.00</w:t>
      </w:r>
      <w:r>
        <w:rPr>
          <w:rFonts w:hint="eastAsia" w:ascii="仿宋_GB2312" w:hAnsi="ˎ̥" w:eastAsia="仿宋_GB2312"/>
          <w:sz w:val="32"/>
          <w:szCs w:val="32"/>
        </w:rPr>
        <w:t>万元。</w:t>
      </w:r>
    </w:p>
    <w:p>
      <w:pPr>
        <w:spacing w:before="100" w:beforeAutospacing="1" w:after="100" w:afterAutospacing="1"/>
        <w:rPr>
          <w:rFonts w:ascii="楷体" w:hAnsi="楷体" w:eastAsia="楷体" w:cs="楷体"/>
          <w:sz w:val="32"/>
          <w:szCs w:val="32"/>
        </w:rPr>
      </w:pPr>
      <w:r>
        <w:rPr>
          <w:rFonts w:hint="eastAsia" w:ascii="楷体" w:hAnsi="楷体" w:eastAsia="楷体" w:cs="楷体"/>
          <w:b/>
          <w:bCs/>
          <w:sz w:val="32"/>
          <w:szCs w:val="32"/>
        </w:rPr>
        <w:t xml:space="preserve">   </w:t>
      </w:r>
      <w:r>
        <w:rPr>
          <w:rFonts w:hint="eastAsia" w:ascii="楷体" w:hAnsi="楷体" w:eastAsia="楷体" w:cs="楷体"/>
          <w:sz w:val="32"/>
          <w:szCs w:val="32"/>
        </w:rPr>
        <w:t xml:space="preserve"> （二）财政拨款“三公”经费支出决算具体情况说明。</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3</w:t>
      </w:r>
      <w:r>
        <w:rPr>
          <w:rFonts w:hint="eastAsia" w:ascii="仿宋_GB2312" w:hAnsi="ˎ̥" w:eastAsia="仿宋_GB2312"/>
          <w:sz w:val="32"/>
          <w:szCs w:val="32"/>
        </w:rPr>
        <w:t>年度财政拨款“三公”经费支出决算中，因公出国（境）费支出决算</w:t>
      </w:r>
      <w:r>
        <w:rPr>
          <w:rFonts w:hint="eastAsia" w:ascii="仿宋_GB2312" w:eastAsia="仿宋_GB2312"/>
          <w:sz w:val="32"/>
          <w:szCs w:val="32"/>
        </w:rPr>
        <w:t>0.00</w:t>
      </w:r>
      <w:r>
        <w:rPr>
          <w:rFonts w:hint="eastAsia" w:ascii="仿宋_GB2312" w:hAnsi="ˎ̥" w:eastAsia="仿宋_GB2312"/>
          <w:sz w:val="32"/>
          <w:szCs w:val="32"/>
        </w:rPr>
        <w:t>万元；公务用车购置及运行维护费支出决算</w:t>
      </w:r>
      <w:r>
        <w:rPr>
          <w:rFonts w:hint="eastAsia" w:ascii="仿宋_GB2312" w:eastAsia="仿宋_GB2312"/>
          <w:sz w:val="32"/>
          <w:szCs w:val="32"/>
        </w:rPr>
        <w:t>0.00</w:t>
      </w:r>
      <w:r>
        <w:rPr>
          <w:rFonts w:hint="eastAsia" w:ascii="仿宋_GB2312" w:hAnsi="ˎ̥" w:eastAsia="仿宋_GB2312"/>
          <w:sz w:val="32"/>
          <w:szCs w:val="32"/>
        </w:rPr>
        <w:t>万元；公务接待费支出决算</w:t>
      </w:r>
      <w:r>
        <w:rPr>
          <w:rFonts w:hint="eastAsia" w:ascii="仿宋_GB2312" w:eastAsia="仿宋_GB2312"/>
          <w:sz w:val="32"/>
          <w:szCs w:val="32"/>
        </w:rPr>
        <w:t>0.00</w:t>
      </w:r>
      <w:r>
        <w:rPr>
          <w:rFonts w:hint="eastAsia" w:ascii="仿宋_GB2312" w:hAnsi="ˎ̥" w:eastAsia="仿宋_GB2312"/>
          <w:sz w:val="32"/>
          <w:szCs w:val="32"/>
        </w:rPr>
        <w:t>万元。</w:t>
      </w:r>
    </w:p>
    <w:p>
      <w:pPr>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十、预算绩效情况说明。</w:t>
      </w:r>
    </w:p>
    <w:p>
      <w:pPr>
        <w:spacing w:before="100" w:beforeAutospacing="1" w:after="100" w:afterAutospacing="1" w:line="578" w:lineRule="exact"/>
        <w:ind w:firstLine="640" w:firstLineChars="200"/>
        <w:rPr>
          <w:rFonts w:ascii="楷体" w:hAnsi="楷体" w:eastAsia="楷体" w:cs="楷体"/>
          <w:bCs/>
          <w:color w:val="FF0000"/>
          <w:sz w:val="32"/>
          <w:szCs w:val="32"/>
        </w:rPr>
      </w:pPr>
      <w:r>
        <w:rPr>
          <w:rFonts w:hint="eastAsia" w:ascii="楷体" w:hAnsi="楷体" w:eastAsia="楷体" w:cs="楷体"/>
          <w:bCs/>
          <w:sz w:val="32"/>
          <w:szCs w:val="32"/>
        </w:rPr>
        <w:t>（一）</w:t>
      </w:r>
      <w:r>
        <w:rPr>
          <w:rFonts w:hint="eastAsia" w:ascii="楷体" w:hAnsi="楷体" w:eastAsia="楷体" w:cs="楷体"/>
          <w:bCs/>
          <w:color w:val="000000" w:themeColor="text1"/>
          <w:sz w:val="32"/>
          <w:szCs w:val="32"/>
          <w14:textFill>
            <w14:solidFill>
              <w14:schemeClr w14:val="tx1"/>
            </w14:solidFill>
          </w14:textFill>
        </w:rPr>
        <w:t>绩效管理工作开展情况。</w:t>
      </w:r>
    </w:p>
    <w:p>
      <w:pPr>
        <w:spacing w:before="100" w:beforeAutospacing="1" w:after="100" w:afterAutospacing="1"/>
        <w:ind w:firstLine="640" w:firstLineChars="200"/>
        <w:rPr>
          <w:rFonts w:ascii="仿宋_GB2312" w:eastAsia="仿宋_GB2312"/>
          <w:sz w:val="32"/>
          <w:szCs w:val="32"/>
        </w:rPr>
      </w:pPr>
      <w:r>
        <w:rPr>
          <w:rFonts w:hint="eastAsia" w:ascii="仿宋_GB2312" w:eastAsia="仿宋_GB2312"/>
          <w:sz w:val="32"/>
          <w:szCs w:val="32"/>
        </w:rPr>
        <w:t>根据财政预算绩效管理要求，可按照如下格式说明：根据预算管理要求，我部门（单位）组织对202</w:t>
      </w:r>
      <w:r>
        <w:rPr>
          <w:rFonts w:hint="eastAsia" w:ascii="仿宋_GB2312" w:eastAsia="仿宋_GB2312"/>
          <w:sz w:val="32"/>
          <w:szCs w:val="32"/>
          <w:lang w:val="en-US" w:eastAsia="zh-CN"/>
        </w:rPr>
        <w:t>3</w:t>
      </w:r>
      <w:r>
        <w:rPr>
          <w:rFonts w:hint="eastAsia" w:ascii="仿宋_GB2312" w:eastAsia="仿宋_GB2312"/>
          <w:sz w:val="32"/>
          <w:szCs w:val="32"/>
        </w:rPr>
        <w:t>年度一般公共预算项目支出全面开展绩效自评。</w:t>
      </w:r>
      <w:r>
        <w:rPr>
          <w:rFonts w:hint="eastAsia" w:ascii="仿宋_GB2312" w:eastAsia="仿宋_GB2312"/>
          <w:sz w:val="32"/>
          <w:szCs w:val="32"/>
          <w:lang w:bidi="ar"/>
        </w:rPr>
        <w:t>其中，自评项目</w:t>
      </w:r>
      <w:r>
        <w:rPr>
          <w:rFonts w:hint="eastAsia" w:ascii="仿宋_GB2312" w:eastAsia="仿宋_GB2312"/>
          <w:sz w:val="32"/>
          <w:szCs w:val="32"/>
          <w:lang w:val="en-US" w:eastAsia="zh-CN" w:bidi="ar"/>
        </w:rPr>
        <w:t>2</w:t>
      </w:r>
      <w:r>
        <w:rPr>
          <w:rFonts w:hint="eastAsia" w:ascii="仿宋_GB2312" w:eastAsia="仿宋_GB2312"/>
          <w:color w:val="000000" w:themeColor="text1"/>
          <w:sz w:val="32"/>
          <w:szCs w:val="32"/>
          <w:lang w:bidi="ar"/>
          <w14:textFill>
            <w14:solidFill>
              <w14:schemeClr w14:val="tx1"/>
            </w14:solidFill>
          </w14:textFill>
        </w:rPr>
        <w:t>个，共涉及资金</w:t>
      </w:r>
      <w:r>
        <w:rPr>
          <w:rFonts w:hint="eastAsia" w:ascii="仿宋_GB2312" w:eastAsia="仿宋_GB2312"/>
          <w:color w:val="000000" w:themeColor="text1"/>
          <w:sz w:val="32"/>
          <w:szCs w:val="32"/>
          <w:lang w:val="en-US" w:eastAsia="zh-CN" w:bidi="ar"/>
          <w14:textFill>
            <w14:solidFill>
              <w14:schemeClr w14:val="tx1"/>
            </w14:solidFill>
          </w14:textFill>
        </w:rPr>
        <w:t xml:space="preserve"> 17</w:t>
      </w:r>
      <w:r>
        <w:rPr>
          <w:rFonts w:hint="eastAsia" w:ascii="仿宋_GB2312" w:eastAsia="仿宋_GB2312"/>
          <w:color w:val="000000" w:themeColor="text1"/>
          <w:sz w:val="32"/>
          <w:szCs w:val="32"/>
          <w:lang w:bidi="ar"/>
          <w14:textFill>
            <w14:solidFill>
              <w14:schemeClr w14:val="tx1"/>
            </w14:solidFill>
          </w14:textFill>
        </w:rPr>
        <w:t>万元</w:t>
      </w:r>
      <w:r>
        <w:rPr>
          <w:rFonts w:hint="eastAsia" w:ascii="仿宋_GB2312" w:eastAsia="仿宋_GB2312"/>
          <w:sz w:val="32"/>
          <w:szCs w:val="32"/>
          <w:lang w:bidi="ar"/>
        </w:rPr>
        <w:t>，自评覆盖率达到1</w:t>
      </w:r>
      <w:r>
        <w:rPr>
          <w:rFonts w:ascii="仿宋_GB2312" w:eastAsia="仿宋_GB2312"/>
          <w:sz w:val="32"/>
          <w:szCs w:val="32"/>
          <w:lang w:bidi="ar"/>
        </w:rPr>
        <w:t>00%</w:t>
      </w:r>
      <w:r>
        <w:rPr>
          <w:rFonts w:hint="eastAsia" w:ascii="仿宋_GB2312" w:eastAsia="仿宋_GB2312"/>
          <w:sz w:val="32"/>
          <w:szCs w:val="32"/>
          <w:lang w:bidi="ar"/>
        </w:rPr>
        <w:t>。</w:t>
      </w:r>
    </w:p>
    <w:p>
      <w:pPr>
        <w:spacing w:before="100" w:beforeAutospacing="1" w:after="100" w:afterAutospacing="1"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（二）部门决算中项目绩效自评结果（预算部门、单位可根据实际情况反映重点项目绩效自评结果）。</w:t>
      </w:r>
    </w:p>
    <w:p>
      <w:pPr>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无涉及此项</w:t>
      </w:r>
    </w:p>
    <w:p>
      <w:pPr>
        <w:spacing w:before="100" w:beforeAutospacing="1" w:after="100" w:afterAutospacing="1"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（三）部门评价结果（预算部门填写，部门所属单位不需填写）。</w:t>
      </w:r>
    </w:p>
    <w:p>
      <w:pPr>
        <w:spacing w:before="100" w:beforeAutospacing="1" w:after="100" w:afterAutospacing="1"/>
        <w:ind w:firstLine="640" w:firstLineChars="200"/>
        <w:rPr>
          <w:rFonts w:ascii="仿宋_GB2312" w:eastAsia="仿宋_GB2312"/>
          <w:sz w:val="32"/>
          <w:szCs w:val="32"/>
        </w:rPr>
      </w:pPr>
      <w:r>
        <w:rPr>
          <w:rFonts w:hint="eastAsia" w:ascii="仿宋_GB2312" w:hAnsi="仿宋_GB2312" w:eastAsia="仿宋_GB2312" w:cs="仿宋_GB2312"/>
          <w:sz w:val="32"/>
          <w:szCs w:val="32"/>
          <w:lang w:bidi="ar"/>
        </w:rPr>
        <w:t>无涉及此项</w:t>
      </w:r>
    </w:p>
    <w:p>
      <w:pPr>
        <w:spacing w:before="100" w:beforeAutospacing="1" w:after="100" w:afterAutospacing="1" w:line="578" w:lineRule="exact"/>
        <w:ind w:firstLine="640" w:firstLineChars="200"/>
        <w:rPr>
          <w:rFonts w:ascii="楷体" w:hAnsi="楷体" w:eastAsia="楷体" w:cs="楷体"/>
          <w:bCs/>
          <w:sz w:val="32"/>
          <w:szCs w:val="32"/>
        </w:rPr>
      </w:pPr>
      <w:r>
        <w:rPr>
          <w:rFonts w:hint="eastAsia" w:ascii="楷体" w:hAnsi="楷体" w:eastAsia="楷体" w:cs="楷体"/>
          <w:bCs/>
          <w:sz w:val="32"/>
          <w:szCs w:val="32"/>
        </w:rPr>
        <w:t>（四）财政评价结果（如有）。</w:t>
      </w:r>
    </w:p>
    <w:p>
      <w:pPr>
        <w:spacing w:before="100" w:beforeAutospacing="1" w:after="100" w:afterAutospacing="1"/>
        <w:ind w:firstLine="640" w:firstLineChars="200"/>
        <w:rPr>
          <w:rFonts w:ascii="仿宋_GB2312" w:eastAsia="仿宋_GB2312"/>
          <w:sz w:val="32"/>
          <w:szCs w:val="32"/>
        </w:rPr>
      </w:pPr>
      <w:r>
        <w:rPr>
          <w:rFonts w:hint="eastAsia" w:ascii="仿宋_GB2312" w:eastAsia="仿宋_GB2312"/>
          <w:sz w:val="32"/>
          <w:szCs w:val="32"/>
          <w:lang w:val="zh-CN"/>
        </w:rPr>
        <w:t>无涉及此项</w:t>
      </w:r>
    </w:p>
    <w:p>
      <w:pPr>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十一、其他重要事项情况说明。</w:t>
      </w:r>
    </w:p>
    <w:p>
      <w:pPr>
        <w:spacing w:before="100" w:beforeAutospacing="1" w:after="100" w:afterAutospacing="1"/>
        <w:ind w:firstLine="640" w:firstLineChars="200"/>
        <w:rPr>
          <w:rFonts w:ascii="楷体" w:hAnsi="楷体" w:eastAsia="楷体" w:cs="楷体"/>
          <w:bCs/>
          <w:sz w:val="32"/>
          <w:szCs w:val="32"/>
        </w:rPr>
      </w:pPr>
      <w:bookmarkStart w:id="95" w:name="_Toc18325_WPSOffice_Level2"/>
      <w:bookmarkStart w:id="96" w:name="_Toc5978_WPSOffice_Level2"/>
      <w:bookmarkStart w:id="97" w:name="_Toc15262_WPSOffice_Level2"/>
      <w:bookmarkStart w:id="98" w:name="_Toc32639_WPSOffice_Level2"/>
      <w:bookmarkStart w:id="99" w:name="_Toc15565_WPSOffice_Level2"/>
      <w:bookmarkStart w:id="100" w:name="_Toc23598_WPSOffice_Level2"/>
      <w:r>
        <w:rPr>
          <w:rFonts w:hint="eastAsia" w:ascii="楷体" w:hAnsi="楷体" w:eastAsia="楷体" w:cs="楷体"/>
          <w:bCs/>
          <w:sz w:val="32"/>
          <w:szCs w:val="32"/>
        </w:rPr>
        <w:t>（一）机关运行经费支出情况。</w:t>
      </w:r>
      <w:bookmarkEnd w:id="95"/>
      <w:bookmarkEnd w:id="96"/>
      <w:bookmarkEnd w:id="97"/>
      <w:bookmarkEnd w:id="98"/>
      <w:bookmarkEnd w:id="99"/>
      <w:bookmarkEnd w:id="100"/>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无此项支出</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机关运行经费预算数字可取自部门决算报表财决01-1表《财政拨款收入支出决算总表》，年初预算数-一般公共预算财政拨款-公用经费，注意部门汇总公开决算时，因事业单位没有机关运行经费支出，故部门汇总的机关运行经费预算数应为部门所属的各行政单位或参公单位的汇总数；决算数字可取自202</w:t>
      </w:r>
      <w:r>
        <w:rPr>
          <w:rFonts w:hint="eastAsia" w:ascii="仿宋_GB2312" w:hAnsi="ˎ̥" w:eastAsia="仿宋_GB2312"/>
          <w:sz w:val="32"/>
          <w:szCs w:val="32"/>
          <w:lang w:val="en-US" w:eastAsia="zh-CN"/>
        </w:rPr>
        <w:t>3</w:t>
      </w:r>
      <w:r>
        <w:rPr>
          <w:rFonts w:hint="eastAsia" w:ascii="仿宋_GB2312" w:hAnsi="ˎ̥" w:eastAsia="仿宋_GB2312"/>
          <w:sz w:val="32"/>
          <w:szCs w:val="32"/>
        </w:rPr>
        <w:t>年度部门决算报表F03表《机构运行信息表》“机关运行经费”栏。）</w:t>
      </w:r>
    </w:p>
    <w:p>
      <w:pPr>
        <w:spacing w:before="100" w:beforeAutospacing="1" w:after="100" w:afterAutospacing="1"/>
        <w:ind w:firstLine="640" w:firstLineChars="200"/>
        <w:rPr>
          <w:rFonts w:ascii="楷体" w:hAnsi="楷体" w:eastAsia="楷体" w:cs="楷体"/>
          <w:bCs/>
          <w:sz w:val="32"/>
          <w:szCs w:val="32"/>
        </w:rPr>
      </w:pPr>
      <w:bookmarkStart w:id="101" w:name="_Toc13084_WPSOffice_Level2"/>
      <w:bookmarkStart w:id="102" w:name="_Toc3131_WPSOffice_Level2"/>
      <w:bookmarkStart w:id="103" w:name="_Toc32689_WPSOffice_Level2"/>
      <w:bookmarkStart w:id="104" w:name="_Toc25333_WPSOffice_Level2"/>
      <w:bookmarkStart w:id="105" w:name="_Toc30383_WPSOffice_Level2"/>
      <w:bookmarkStart w:id="106" w:name="_Toc23966_WPSOffice_Level2"/>
      <w:r>
        <w:rPr>
          <w:rFonts w:hint="eastAsia" w:ascii="楷体" w:hAnsi="楷体" w:eastAsia="楷体" w:cs="楷体"/>
          <w:bCs/>
          <w:sz w:val="32"/>
          <w:szCs w:val="32"/>
        </w:rPr>
        <w:t>（二）政府采购支出情况。</w:t>
      </w:r>
      <w:bookmarkEnd w:id="101"/>
      <w:bookmarkEnd w:id="102"/>
      <w:bookmarkEnd w:id="103"/>
      <w:bookmarkEnd w:id="104"/>
      <w:bookmarkEnd w:id="105"/>
      <w:bookmarkEnd w:id="106"/>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无此项支出。</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（注：上述政府采购支出相关数字取自202</w:t>
      </w:r>
      <w:r>
        <w:rPr>
          <w:rFonts w:hint="eastAsia" w:ascii="仿宋_GB2312" w:hAnsi="ˎ̥" w:eastAsia="仿宋_GB2312"/>
          <w:sz w:val="32"/>
          <w:szCs w:val="32"/>
          <w:lang w:val="en-US" w:eastAsia="zh-CN"/>
        </w:rPr>
        <w:t>3</w:t>
      </w:r>
      <w:r>
        <w:rPr>
          <w:rFonts w:hint="eastAsia" w:ascii="仿宋_GB2312" w:hAnsi="ˎ̥" w:eastAsia="仿宋_GB2312"/>
          <w:sz w:val="32"/>
          <w:szCs w:val="32"/>
        </w:rPr>
        <w:t>年度部门决算报表F03表《机构运行信息表》，授予中小企业和小微企业合同金额由各部门查阅本部门相关资料填写。）</w:t>
      </w:r>
    </w:p>
    <w:p>
      <w:pPr>
        <w:spacing w:before="100" w:beforeAutospacing="1" w:after="100" w:afterAutospacing="1"/>
        <w:ind w:firstLine="640" w:firstLineChars="200"/>
        <w:rPr>
          <w:rFonts w:ascii="楷体" w:hAnsi="楷体" w:eastAsia="楷体" w:cs="楷体"/>
          <w:bCs/>
          <w:sz w:val="32"/>
          <w:szCs w:val="32"/>
        </w:rPr>
      </w:pPr>
      <w:bookmarkStart w:id="107" w:name="_Toc15129_WPSOffice_Level2"/>
      <w:bookmarkStart w:id="108" w:name="_Toc29584_WPSOffice_Level2"/>
      <w:bookmarkStart w:id="109" w:name="_Toc19989_WPSOffice_Level2"/>
      <w:bookmarkStart w:id="110" w:name="_Toc527_WPSOffice_Level2"/>
      <w:bookmarkStart w:id="111" w:name="_Toc10902_WPSOffice_Level2"/>
      <w:bookmarkStart w:id="112" w:name="_Toc6016_WPSOffice_Level2"/>
      <w:r>
        <w:rPr>
          <w:rFonts w:hint="eastAsia" w:ascii="楷体" w:hAnsi="楷体" w:eastAsia="楷体" w:cs="楷体"/>
          <w:bCs/>
          <w:sz w:val="32"/>
          <w:szCs w:val="32"/>
        </w:rPr>
        <w:t>（三）</w:t>
      </w:r>
      <w:r>
        <w:rPr>
          <w:rFonts w:hint="eastAsia" w:ascii="楷体" w:hAnsi="楷体" w:eastAsia="楷体" w:cs="楷体"/>
          <w:bCs/>
          <w:color w:val="000000" w:themeColor="text1"/>
          <w:sz w:val="32"/>
          <w:szCs w:val="32"/>
          <w14:textFill>
            <w14:solidFill>
              <w14:schemeClr w14:val="tx1"/>
            </w14:solidFill>
          </w14:textFill>
        </w:rPr>
        <w:t>国有资产占用情况。</w:t>
      </w:r>
      <w:bookmarkEnd w:id="107"/>
      <w:bookmarkEnd w:id="108"/>
      <w:bookmarkEnd w:id="109"/>
      <w:bookmarkEnd w:id="110"/>
      <w:bookmarkEnd w:id="111"/>
      <w:bookmarkEnd w:id="112"/>
    </w:p>
    <w:p>
      <w:pPr>
        <w:spacing w:before="100" w:beforeAutospacing="1" w:after="100" w:afterAutospacing="1" w:line="578" w:lineRule="exact"/>
        <w:ind w:firstLine="640" w:firstLineChars="200"/>
        <w:rPr>
          <w:rFonts w:hint="eastAsia" w:ascii="仿宋_GB2312" w:hAnsi="ˎ̥" w:eastAsia="仿宋_GB2312"/>
          <w:sz w:val="32"/>
          <w:szCs w:val="32"/>
        </w:rPr>
      </w:pPr>
      <w:r>
        <w:rPr>
          <w:rFonts w:hint="eastAsia" w:ascii="仿宋_GB2312" w:hAnsi="ˎ̥" w:eastAsia="仿宋_GB2312"/>
          <w:bCs/>
          <w:sz w:val="32"/>
          <w:szCs w:val="32"/>
        </w:rPr>
        <w:t>截至202</w:t>
      </w:r>
      <w:r>
        <w:rPr>
          <w:rFonts w:hint="eastAsia" w:ascii="仿宋_GB2312" w:hAnsi="ˎ̥" w:eastAsia="仿宋_GB2312"/>
          <w:bCs/>
          <w:sz w:val="32"/>
          <w:szCs w:val="32"/>
          <w:lang w:val="en-US" w:eastAsia="zh-CN"/>
        </w:rPr>
        <w:t>3</w:t>
      </w:r>
      <w:r>
        <w:rPr>
          <w:rFonts w:hint="eastAsia" w:ascii="仿宋_GB2312" w:hAnsi="ˎ̥" w:eastAsia="仿宋_GB2312"/>
          <w:bCs/>
          <w:sz w:val="32"/>
          <w:szCs w:val="32"/>
        </w:rPr>
        <w:t>年12月31日，本部门拥有</w:t>
      </w:r>
      <w:r>
        <w:rPr>
          <w:rFonts w:hint="eastAsia" w:ascii="仿宋_GB2312" w:hAnsi="ˎ̥" w:eastAsia="仿宋_GB2312"/>
          <w:sz w:val="32"/>
          <w:szCs w:val="32"/>
        </w:rPr>
        <w:t>房屋面积1</w:t>
      </w:r>
      <w:r>
        <w:rPr>
          <w:rFonts w:ascii="仿宋_GB2312" w:hAnsi="ˎ̥" w:eastAsia="仿宋_GB2312"/>
          <w:sz w:val="32"/>
          <w:szCs w:val="32"/>
        </w:rPr>
        <w:t>00</w:t>
      </w:r>
      <w:r>
        <w:rPr>
          <w:rFonts w:hint="eastAsia" w:ascii="仿宋_GB2312" w:hAnsi="ˎ̥" w:eastAsia="仿宋_GB2312"/>
          <w:sz w:val="32"/>
          <w:szCs w:val="32"/>
        </w:rPr>
        <w:t>平方米，其中：办公用房</w:t>
      </w:r>
      <w:r>
        <w:rPr>
          <w:rFonts w:ascii="仿宋_GB2312" w:hAnsi="ˎ̥" w:eastAsia="仿宋_GB2312"/>
          <w:sz w:val="32"/>
          <w:szCs w:val="32"/>
        </w:rPr>
        <w:t>50</w:t>
      </w:r>
      <w:r>
        <w:rPr>
          <w:rFonts w:hint="eastAsia" w:ascii="仿宋_GB2312" w:hAnsi="ˎ̥" w:eastAsia="仿宋_GB2312"/>
          <w:sz w:val="32"/>
          <w:szCs w:val="32"/>
        </w:rPr>
        <w:t>平方米，业务用房</w:t>
      </w:r>
      <w:r>
        <w:rPr>
          <w:rFonts w:ascii="仿宋_GB2312" w:hAnsi="ˎ̥" w:eastAsia="仿宋_GB2312"/>
          <w:sz w:val="32"/>
          <w:szCs w:val="32"/>
        </w:rPr>
        <w:t>50</w:t>
      </w:r>
      <w:r>
        <w:rPr>
          <w:rFonts w:hint="eastAsia" w:ascii="仿宋_GB2312" w:hAnsi="ˎ̥" w:eastAsia="仿宋_GB2312"/>
          <w:sz w:val="32"/>
          <w:szCs w:val="32"/>
        </w:rPr>
        <w:t>平方米，其他（不含构筑物）</w:t>
      </w:r>
      <w:r>
        <w:rPr>
          <w:rFonts w:ascii="仿宋_GB2312" w:hAnsi="ˎ̥" w:eastAsia="仿宋_GB2312"/>
          <w:sz w:val="32"/>
          <w:szCs w:val="32"/>
        </w:rPr>
        <w:t>0</w:t>
      </w:r>
      <w:r>
        <w:rPr>
          <w:rFonts w:hint="eastAsia" w:ascii="仿宋_GB2312" w:hAnsi="ˎ̥" w:eastAsia="仿宋_GB2312"/>
          <w:sz w:val="32"/>
          <w:szCs w:val="32"/>
        </w:rPr>
        <w:t>平方米。</w:t>
      </w:r>
    </w:p>
    <w:p>
      <w:pPr>
        <w:spacing w:before="100" w:beforeAutospacing="1" w:after="100" w:afterAutospacing="1"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本部门无车辆。</w:t>
      </w:r>
    </w:p>
    <w:p>
      <w:pPr>
        <w:spacing w:before="100" w:beforeAutospacing="1" w:after="100" w:afterAutospacing="1"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单价100万元（含）以上设备（不含车辆）</w:t>
      </w:r>
      <w:r>
        <w:rPr>
          <w:rFonts w:ascii="仿宋_GB2312" w:hAnsi="ˎ̥" w:eastAsia="仿宋_GB2312"/>
          <w:sz w:val="32"/>
          <w:szCs w:val="32"/>
        </w:rPr>
        <w:t>0</w:t>
      </w:r>
      <w:r>
        <w:rPr>
          <w:rFonts w:hint="eastAsia" w:ascii="仿宋_GB2312" w:hAnsi="ˎ̥" w:eastAsia="仿宋_GB2312"/>
          <w:sz w:val="32"/>
          <w:szCs w:val="32"/>
        </w:rPr>
        <w:t>台（套）。</w:t>
      </w:r>
    </w:p>
    <w:p>
      <w:pPr>
        <w:spacing w:before="100" w:beforeAutospacing="1" w:after="100" w:afterAutospacing="1"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年末在建工程</w:t>
      </w:r>
      <w:r>
        <w:rPr>
          <w:rFonts w:ascii="仿宋_GB2312" w:hAnsi="ˎ̥" w:eastAsia="仿宋_GB2312"/>
          <w:sz w:val="32"/>
          <w:szCs w:val="32"/>
        </w:rPr>
        <w:t>0</w:t>
      </w:r>
      <w:r>
        <w:rPr>
          <w:rFonts w:hint="eastAsia" w:ascii="仿宋_GB2312" w:hAnsi="ˎ̥" w:eastAsia="仿宋_GB2312"/>
          <w:sz w:val="32"/>
          <w:szCs w:val="32"/>
        </w:rPr>
        <w:t>万元。</w:t>
      </w:r>
    </w:p>
    <w:p>
      <w:pPr>
        <w:spacing w:before="100" w:beforeAutospacing="1" w:after="100" w:afterAutospacing="1"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（注：上述国有资产占用情况相关数字取自2022年度部门决算F01表《预算支出相关信息表》、F03表《机构运行信息表》。）</w:t>
      </w:r>
    </w:p>
    <w:p>
      <w:pPr>
        <w:spacing w:before="100" w:beforeAutospacing="1" w:after="100" w:afterAutospacing="1"/>
        <w:rPr>
          <w:rFonts w:hint="eastAsia" w:ascii="黑体" w:hAnsi="ˎ̥" w:eastAsia="黑体"/>
          <w:sz w:val="32"/>
          <w:szCs w:val="32"/>
        </w:rPr>
      </w:pPr>
      <w:bookmarkStart w:id="113" w:name="_Toc17580_WPSOffice_Level1"/>
      <w:bookmarkStart w:id="114" w:name="_Toc4398_WPSOffice_Level1"/>
      <w:bookmarkStart w:id="115" w:name="_Toc15425_WPSOffice_Level1"/>
      <w:bookmarkStart w:id="116" w:name="_Toc8874_WPSOffice_Level1"/>
      <w:bookmarkStart w:id="117" w:name="_Toc11039_WPSOffice_Level1"/>
      <w:bookmarkStart w:id="118" w:name="_Toc8808_WPSOffice_Level1"/>
    </w:p>
    <w:p>
      <w:pPr>
        <w:spacing w:before="100" w:beforeAutospacing="1" w:after="100" w:afterAutospacing="1"/>
        <w:jc w:val="center"/>
        <w:rPr>
          <w:rFonts w:hint="eastAsia" w:ascii="黑体" w:hAnsi="ˎ̥" w:eastAsia="黑体"/>
          <w:sz w:val="32"/>
          <w:szCs w:val="32"/>
        </w:rPr>
      </w:pPr>
      <w:r>
        <w:rPr>
          <w:rFonts w:hint="eastAsia" w:ascii="黑体" w:hAnsi="ˎ̥" w:eastAsia="黑体"/>
          <w:sz w:val="32"/>
          <w:szCs w:val="32"/>
        </w:rPr>
        <w:t>第四部分  名词解释</w:t>
      </w:r>
      <w:bookmarkEnd w:id="113"/>
      <w:bookmarkEnd w:id="114"/>
      <w:bookmarkEnd w:id="115"/>
      <w:bookmarkEnd w:id="116"/>
      <w:bookmarkEnd w:id="117"/>
      <w:bookmarkEnd w:id="118"/>
    </w:p>
    <w:p>
      <w:pPr>
        <w:spacing w:before="100" w:beforeAutospacing="1" w:after="100" w:afterAutospacing="1"/>
        <w:jc w:val="center"/>
        <w:rPr>
          <w:rFonts w:hint="eastAsia" w:ascii="黑体" w:hAnsi="ˎ̥" w:eastAsia="黑体"/>
          <w:sz w:val="32"/>
          <w:szCs w:val="32"/>
        </w:rPr>
      </w:pPr>
    </w:p>
    <w:p>
      <w:pPr>
        <w:numPr>
          <w:ilvl w:val="0"/>
          <w:numId w:val="2"/>
        </w:numPr>
        <w:spacing w:before="100" w:beforeAutospacing="1" w:after="100" w:afterAutospacing="1"/>
        <w:ind w:left="0" w:firstLine="640" w:firstLineChars="200"/>
        <w:rPr>
          <w:rFonts w:hint="eastAsia"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七、使用非财政拨款结余：指事业单位在当年的“财政拨款收入”“事业收入”“经营收入”“其他收入”等不足以安排当年支出的情况下，使用非同级财政拨款结余资金弥补本年度收支缺口。</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八、年初结转和结余：指以前年度尚未完成、结转到本年按有关规定继续使用的资金，或项目已完成等产生的结余资金。</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九、结余分配：指事业单位缴纳企业所得税以及从非财政拨款结余或经营结余中提取各类结余的情况。</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十、年末结转和结余：指本年度或以前年度预算安排、因客观条件发生变化无法按原计划实施，需要延迟到以后年度按有关规定继续使用的资金（不包括事业单位非财政拨款结余和专用结余）。</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spacing w:before="100" w:beforeAutospacing="1" w:after="100" w:afterAutospacing="1"/>
        <w:ind w:firstLine="645"/>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spacing w:before="100" w:beforeAutospacing="1" w:after="100" w:afterAutospacing="1"/>
        <w:ind w:firstLine="645"/>
        <w:rPr>
          <w:rFonts w:hint="eastAsia" w:ascii="仿宋_GB2312" w:hAnsi="ˎ̥" w:eastAsia="仿宋_GB2312"/>
          <w:sz w:val="32"/>
          <w:szCs w:val="32"/>
        </w:rPr>
      </w:pPr>
      <w:r>
        <w:rPr>
          <w:rFonts w:hint="eastAsia" w:ascii="仿宋_GB2312" w:hAnsi="ˎ̥" w:eastAsia="仿宋_GB2312"/>
          <w:sz w:val="32"/>
          <w:szCs w:val="32"/>
        </w:rPr>
        <w:t>（注：支出功能分类的名词解释，各部门（单位）根据实际支出情况填列，可参阅财政部印发的《2022年政府收支分类科目》）</w:t>
      </w:r>
    </w:p>
    <w:p>
      <w:pPr>
        <w:spacing w:before="100" w:beforeAutospacing="1" w:after="100" w:afterAutospacing="1"/>
      </w:pPr>
    </w:p>
    <w:sectPr>
      <w:footerReference r:id="rId3" w:type="default"/>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0000000000000000000"/>
    <w:charset w:val="86"/>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ˎ̥">
    <w:altName w:val="华文中宋"/>
    <w:panose1 w:val="00000000000000000000"/>
    <w:charset w:val="00"/>
    <w:family w:val="roman"/>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roman"/>
    <w:pitch w:val="default"/>
    <w:sig w:usb0="00000000" w:usb1="00000000" w:usb2="00000000" w:usb3="00000000" w:csb0="00040000" w:csb1="00000000"/>
  </w:font>
  <w:font w:name="楷体_GB2312">
    <w:altName w:val="方正楷体_GBK"/>
    <w:panose1 w:val="02010609030101010101"/>
    <w:charset w:val="86"/>
    <w:family w:val="roman"/>
    <w:pitch w:val="default"/>
    <w:sig w:usb0="00000000" w:usb1="00000000" w:usb2="00000000" w:usb3="00000000" w:csb0="00040000" w:csb1="00000000"/>
  </w:font>
  <w:font w:name="等线">
    <w:altName w:val="华文中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64612F"/>
    <w:multiLevelType w:val="multilevel"/>
    <w:tmpl w:val="2764612F"/>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09315CD"/>
    <w:multiLevelType w:val="multilevel"/>
    <w:tmpl w:val="409315CD"/>
    <w:lvl w:ilvl="0" w:tentative="0">
      <w:start w:val="6"/>
      <w:numFmt w:val="japaneseCounting"/>
      <w:lvlText w:val="%1、"/>
      <w:lvlJc w:val="left"/>
      <w:pPr>
        <w:ind w:left="920" w:hanging="720"/>
      </w:pPr>
      <w:rPr>
        <w:rFonts w:hint="default"/>
      </w:rPr>
    </w:lvl>
    <w:lvl w:ilvl="1" w:tentative="0">
      <w:start w:val="1"/>
      <w:numFmt w:val="lowerLetter"/>
      <w:lvlText w:val="%2)"/>
      <w:lvlJc w:val="left"/>
      <w:pPr>
        <w:ind w:left="1080" w:hanging="440"/>
      </w:pPr>
    </w:lvl>
    <w:lvl w:ilvl="2" w:tentative="0">
      <w:start w:val="1"/>
      <w:numFmt w:val="lowerRoman"/>
      <w:lvlText w:val="%3."/>
      <w:lvlJc w:val="right"/>
      <w:pPr>
        <w:ind w:left="1520" w:hanging="440"/>
      </w:pPr>
    </w:lvl>
    <w:lvl w:ilvl="3" w:tentative="0">
      <w:start w:val="1"/>
      <w:numFmt w:val="decimal"/>
      <w:lvlText w:val="%4."/>
      <w:lvlJc w:val="left"/>
      <w:pPr>
        <w:ind w:left="1960" w:hanging="440"/>
      </w:pPr>
    </w:lvl>
    <w:lvl w:ilvl="4" w:tentative="0">
      <w:start w:val="1"/>
      <w:numFmt w:val="lowerLetter"/>
      <w:lvlText w:val="%5)"/>
      <w:lvlJc w:val="left"/>
      <w:pPr>
        <w:ind w:left="2400" w:hanging="440"/>
      </w:pPr>
    </w:lvl>
    <w:lvl w:ilvl="5" w:tentative="0">
      <w:start w:val="1"/>
      <w:numFmt w:val="lowerRoman"/>
      <w:lvlText w:val="%6."/>
      <w:lvlJc w:val="right"/>
      <w:pPr>
        <w:ind w:left="2840" w:hanging="440"/>
      </w:pPr>
    </w:lvl>
    <w:lvl w:ilvl="6" w:tentative="0">
      <w:start w:val="1"/>
      <w:numFmt w:val="decimal"/>
      <w:lvlText w:val="%7."/>
      <w:lvlJc w:val="left"/>
      <w:pPr>
        <w:ind w:left="3280" w:hanging="440"/>
      </w:pPr>
    </w:lvl>
    <w:lvl w:ilvl="7" w:tentative="0">
      <w:start w:val="1"/>
      <w:numFmt w:val="lowerLetter"/>
      <w:lvlText w:val="%8)"/>
      <w:lvlJc w:val="left"/>
      <w:pPr>
        <w:ind w:left="3720" w:hanging="440"/>
      </w:pPr>
    </w:lvl>
    <w:lvl w:ilvl="8" w:tentative="0">
      <w:start w:val="1"/>
      <w:numFmt w:val="lowerRoman"/>
      <w:lvlText w:val="%9."/>
      <w:lvlJc w:val="right"/>
      <w:pPr>
        <w:ind w:left="4160" w:hanging="44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8F"/>
    <w:rsid w:val="00214480"/>
    <w:rsid w:val="002D0B1D"/>
    <w:rsid w:val="0030098F"/>
    <w:rsid w:val="00402456"/>
    <w:rsid w:val="00493A12"/>
    <w:rsid w:val="004A1D94"/>
    <w:rsid w:val="005B4921"/>
    <w:rsid w:val="005F7766"/>
    <w:rsid w:val="00640E76"/>
    <w:rsid w:val="00721328"/>
    <w:rsid w:val="00723FE8"/>
    <w:rsid w:val="008C50F0"/>
    <w:rsid w:val="00961760"/>
    <w:rsid w:val="00A31F95"/>
    <w:rsid w:val="00AE5783"/>
    <w:rsid w:val="00B21DAF"/>
    <w:rsid w:val="00BF5625"/>
    <w:rsid w:val="00C0619D"/>
    <w:rsid w:val="00DC6C26"/>
    <w:rsid w:val="00DF5565"/>
    <w:rsid w:val="00E444FD"/>
    <w:rsid w:val="00E642C5"/>
    <w:rsid w:val="00F56401"/>
    <w:rsid w:val="00F77DD8"/>
    <w:rsid w:val="00F97089"/>
    <w:rsid w:val="0C7D4002"/>
    <w:rsid w:val="3D2719B2"/>
    <w:rsid w:val="517D726F"/>
    <w:rsid w:val="54DFFEB8"/>
    <w:rsid w:val="5BFF3E89"/>
    <w:rsid w:val="5FD6936E"/>
    <w:rsid w:val="5FFEBD89"/>
    <w:rsid w:val="658361ED"/>
    <w:rsid w:val="6FFF2CDB"/>
    <w:rsid w:val="7A57AA44"/>
    <w:rsid w:val="7BBBFD28"/>
    <w:rsid w:val="7CFEE945"/>
    <w:rsid w:val="7E6BA618"/>
    <w:rsid w:val="7E9F64CB"/>
    <w:rsid w:val="7F7F0C19"/>
    <w:rsid w:val="7FE70591"/>
    <w:rsid w:val="7FF8D91B"/>
    <w:rsid w:val="82CF5D5E"/>
    <w:rsid w:val="8F93BE2F"/>
    <w:rsid w:val="A397511B"/>
    <w:rsid w:val="B5FFB99B"/>
    <w:rsid w:val="B775C6B1"/>
    <w:rsid w:val="D89FD726"/>
    <w:rsid w:val="F6D11FBE"/>
    <w:rsid w:val="F7FF0653"/>
    <w:rsid w:val="FB7A3970"/>
    <w:rsid w:val="FBFCE7BA"/>
    <w:rsid w:val="FDF5CC57"/>
    <w:rsid w:val="FF7C9843"/>
    <w:rsid w:val="FFD0E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msonormal"/>
    <w:basedOn w:val="1"/>
    <w:qFormat/>
    <w:uiPriority w:val="0"/>
    <w:pPr>
      <w:spacing w:before="100" w:beforeAutospacing="1" w:after="100" w:afterAutospacing="1"/>
    </w:pPr>
  </w:style>
  <w:style w:type="paragraph" w:customStyle="1" w:styleId="7">
    <w:name w:val="wpsoffice1"/>
    <w:basedOn w:val="1"/>
    <w:qFormat/>
    <w:uiPriority w:val="0"/>
    <w:pPr>
      <w:spacing w:before="100" w:beforeAutospacing="1" w:after="100" w:afterAutospacing="1"/>
    </w:pPr>
  </w:style>
  <w:style w:type="paragraph" w:customStyle="1" w:styleId="8">
    <w:name w:val="wpsoffice2"/>
    <w:basedOn w:val="1"/>
    <w:qFormat/>
    <w:uiPriority w:val="0"/>
    <w:pPr>
      <w:spacing w:before="100" w:beforeAutospacing="1" w:after="100" w:afterAutospacing="1"/>
    </w:p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846</Words>
  <Characters>4827</Characters>
  <Lines>40</Lines>
  <Paragraphs>11</Paragraphs>
  <TotalTime>4</TotalTime>
  <ScaleCrop>false</ScaleCrop>
  <LinksUpToDate>false</LinksUpToDate>
  <CharactersWithSpaces>5662</CharactersWithSpaces>
  <Application>WPS Office_11.8.2.1125_F1E327BC-269C-435d-A152-05C5408002CA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2023-09-15T07:17:00Z</dcterms:created>
  <dc:creator>白莹雪</dc:creator>
  <cp:lastModifiedBy>lenovo</cp:lastModifiedBy>
  <dcterms:modified xsi:type="dcterms:W3CDTF">2024-09-14T15:48:46Z</dcterms:modified>
  <dc:title>DWZDM</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2052-11.8.2.1125</vt:lpwstr>
  </property>
  <property fmtid="{D5CDD505-2E9C-101B-9397-08002B2CF9AE}" pid="3" name="ICV">
    <vt:lpwstr>7EE4886A451DC2ED8401E56601EC9F33</vt:lpwstr>
  </property>
</Properties>
</file>