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宋体"/>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宋体"/>
          <w:color w:val="auto"/>
          <w:kern w:val="0"/>
          <w:sz w:val="44"/>
          <w:szCs w:val="44"/>
          <w:lang w:val="en-US" w:eastAsia="zh-CN"/>
        </w:rPr>
      </w:pPr>
      <w:r>
        <w:rPr>
          <w:rFonts w:hint="eastAsia" w:ascii="方正小标宋简体" w:eastAsia="方正小标宋简体" w:cs="宋体"/>
          <w:color w:val="auto"/>
          <w:kern w:val="0"/>
          <w:sz w:val="44"/>
          <w:szCs w:val="44"/>
          <w:lang w:val="en-US" w:eastAsia="zh-CN"/>
        </w:rPr>
        <w:t>文昌市</w:t>
      </w:r>
      <w:r>
        <w:rPr>
          <w:rFonts w:hint="eastAsia" w:ascii="方正小标宋简体" w:eastAsia="方正小标宋简体" w:cs="宋体"/>
          <w:color w:val="auto"/>
          <w:kern w:val="0"/>
          <w:sz w:val="44"/>
          <w:szCs w:val="44"/>
          <w:lang w:eastAsia="zh-CN"/>
        </w:rPr>
        <w:t>航天</w:t>
      </w:r>
      <w:r>
        <w:rPr>
          <w:rFonts w:hint="eastAsia" w:ascii="方正小标宋简体" w:eastAsia="方正小标宋简体" w:cs="宋体"/>
          <w:color w:val="auto"/>
          <w:kern w:val="0"/>
          <w:sz w:val="44"/>
          <w:szCs w:val="44"/>
          <w:lang w:val="en-US" w:eastAsia="zh-CN"/>
        </w:rPr>
        <w:t>发射</w:t>
      </w:r>
      <w:r>
        <w:rPr>
          <w:rFonts w:hint="eastAsia" w:ascii="方正小标宋简体" w:eastAsia="方正小标宋简体" w:cs="宋体"/>
          <w:color w:val="auto"/>
          <w:kern w:val="0"/>
          <w:sz w:val="44"/>
          <w:szCs w:val="44"/>
          <w:lang w:eastAsia="zh-CN"/>
        </w:rPr>
        <w:t>观赏点安全服务规范</w:t>
      </w:r>
      <w:r>
        <w:rPr>
          <w:rFonts w:hint="eastAsia" w:ascii="方正小标宋简体" w:eastAsia="方正小标宋简体" w:cs="宋体"/>
          <w:color w:val="auto"/>
          <w:kern w:val="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cs="宋体"/>
          <w:color w:val="auto"/>
          <w:kern w:val="0"/>
          <w:sz w:val="44"/>
          <w:szCs w:val="44"/>
          <w:lang w:eastAsia="zh-CN"/>
        </w:rPr>
      </w:pPr>
    </w:p>
    <w:p>
      <w:pPr>
        <w:overflowPunct w:val="0"/>
        <w:spacing w:line="500" w:lineRule="exact"/>
        <w:ind w:firstLine="3200" w:firstLineChars="10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overflowPunct w:val="0"/>
        <w:spacing w:line="500" w:lineRule="exact"/>
        <w:ind w:firstLine="640" w:firstLineChars="200"/>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黑体" w:hAnsi="黑体" w:eastAsia="黑体" w:cs="黑体"/>
          <w:b w:val="0"/>
          <w:bCs w:val="0"/>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进一步规范我市航天发射观赏点合法有序开展观赏经营行为，提高设施安全和服务质量，切实维护广大游客合法权益，促进我市航天旅游产业高质量发展，根据《中华人民共和国消防法》《中华人民共和国建筑法》《高层民用建筑消防安全管理规定》（应急管理部令第5号）《海南经济特区旅行社管理规定》《海南省旅游条例》等相关法律法规，结合我市实际，制定本规范</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第二条  </w:t>
      </w:r>
      <w:r>
        <w:rPr>
          <w:rFonts w:hint="eastAsia" w:ascii="仿宋_GB2312" w:hAnsi="仿宋_GB2312" w:eastAsia="仿宋_GB2312" w:cs="仿宋_GB2312"/>
          <w:color w:val="auto"/>
          <w:sz w:val="32"/>
          <w:szCs w:val="32"/>
          <w:lang w:val="en-US" w:eastAsia="zh-CN"/>
        </w:rPr>
        <w:t>本规范所称“航天发射观赏点”（以下简称“观赏点”），是指在我市行政区域内，开展航天发射观赏经营活动的建筑主体屋面,包括但不限于民房、酒店等屋面。</w:t>
      </w:r>
      <w:r>
        <w:rPr>
          <w:rFonts w:hint="eastAsia" w:ascii="黑体" w:hAnsi="黑体" w:eastAsia="黑体" w:cs="黑体"/>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2880" w:firstLineChars="90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2880" w:firstLineChars="9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安全标准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第三条  </w:t>
      </w:r>
      <w:r>
        <w:rPr>
          <w:rFonts w:hint="eastAsia" w:ascii="仿宋_GB2312" w:hAnsi="仿宋_GB2312" w:eastAsia="仿宋_GB2312" w:cs="仿宋_GB2312"/>
          <w:color w:val="auto"/>
          <w:kern w:val="0"/>
          <w:sz w:val="32"/>
          <w:szCs w:val="32"/>
          <w:lang w:val="en-US" w:eastAsia="zh-CN"/>
        </w:rPr>
        <w:t>观赏点经营者系建筑主体的消防安全责任主体，应保证观赏点建筑主体</w:t>
      </w:r>
      <w:r>
        <w:rPr>
          <w:rFonts w:hint="default" w:ascii="仿宋_GB2312" w:hAnsi="仿宋_GB2312" w:eastAsia="仿宋_GB2312" w:cs="仿宋_GB2312"/>
          <w:color w:val="auto"/>
          <w:kern w:val="0"/>
          <w:sz w:val="32"/>
          <w:szCs w:val="32"/>
          <w:lang w:val="en-US" w:eastAsia="zh-CN"/>
        </w:rPr>
        <w:t>安全，即不能为C、D级危房。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val="en-US" w:eastAsia="zh-CN"/>
        </w:rPr>
        <w:t xml:space="preserve">第四条  </w:t>
      </w:r>
      <w:r>
        <w:rPr>
          <w:rFonts w:hint="eastAsia" w:ascii="仿宋_GB2312" w:hAnsi="仿宋_GB2312" w:eastAsia="仿宋_GB2312" w:cs="仿宋_GB2312"/>
          <w:color w:val="auto"/>
          <w:kern w:val="0"/>
          <w:sz w:val="32"/>
          <w:szCs w:val="32"/>
          <w:lang w:val="en-US" w:eastAsia="zh-CN"/>
        </w:rPr>
        <w:t>观赏点须根据《建筑防火通用规范》（GB 55037-2022）相关规定设置安全疏散通道，且</w:t>
      </w:r>
      <w:r>
        <w:rPr>
          <w:rFonts w:hint="eastAsia" w:ascii="仿宋_GB2312" w:hAnsi="仿宋_GB2312" w:eastAsia="仿宋_GB2312" w:cs="仿宋_GB2312"/>
          <w:color w:val="auto"/>
          <w:sz w:val="32"/>
          <w:szCs w:val="32"/>
          <w:lang w:val="en-US" w:eastAsia="zh-CN"/>
        </w:rPr>
        <w:t>符合《中华人民共和国消防法》《中华人民共和国建筑法》《高层民用建筑消防安全管理规定》等要求，应保持全线畅通且照明状况良好，</w:t>
      </w:r>
      <w:r>
        <w:rPr>
          <w:rFonts w:hint="eastAsia" w:ascii="仿宋_GB2312" w:hAnsi="仿宋_GB2312" w:eastAsia="仿宋_GB2312" w:cs="仿宋_GB2312"/>
          <w:color w:val="auto"/>
          <w:sz w:val="32"/>
          <w:szCs w:val="32"/>
          <w:highlight w:val="none"/>
          <w:lang w:val="en-US" w:eastAsia="zh-CN"/>
        </w:rPr>
        <w:t>禁止锁闭出入口或消防通道，禁止在出入口或消防通道放置任何杂物、设置障碍物等。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val="en-US" w:eastAsia="zh-CN"/>
        </w:rPr>
        <w:t xml:space="preserve">第五条 </w:t>
      </w:r>
      <w:r>
        <w:rPr>
          <w:rFonts w:hint="eastAsia" w:ascii="仿宋_GB2312" w:hAnsi="仿宋_GB2312" w:eastAsia="仿宋_GB2312" w:cs="仿宋_GB2312"/>
          <w:color w:val="auto"/>
          <w:kern w:val="0"/>
          <w:sz w:val="32"/>
          <w:szCs w:val="32"/>
          <w:lang w:val="en-US" w:eastAsia="zh-CN"/>
        </w:rPr>
        <w:t>观赏点须根据《消防安全标志》（GB13495.1-2015）《旅游服务场所安全标志设置规范》（DB46/T 548-2021）等要求，设置数量充足的安全警示提示标识，且布局合理。观赏</w:t>
      </w:r>
      <w:r>
        <w:rPr>
          <w:rFonts w:hint="eastAsia" w:ascii="仿宋_GB2312" w:hAnsi="仿宋_GB2312" w:eastAsia="仿宋_GB2312" w:cs="仿宋_GB2312"/>
          <w:color w:val="auto"/>
          <w:kern w:val="0"/>
          <w:sz w:val="32"/>
          <w:szCs w:val="32"/>
          <w:lang w:eastAsia="zh-CN"/>
        </w:rPr>
        <w:t>点</w:t>
      </w:r>
      <w:r>
        <w:rPr>
          <w:rFonts w:hint="eastAsia" w:ascii="仿宋_GB2312" w:hAnsi="仿宋_GB2312" w:eastAsia="仿宋_GB2312" w:cs="仿宋_GB2312"/>
          <w:color w:val="auto"/>
          <w:kern w:val="0"/>
          <w:sz w:val="32"/>
          <w:szCs w:val="32"/>
        </w:rPr>
        <w:t>及安全逃生（疏散）通道</w:t>
      </w:r>
      <w:r>
        <w:rPr>
          <w:rFonts w:hint="eastAsia" w:ascii="仿宋_GB2312" w:hAnsi="仿宋_GB2312" w:eastAsia="仿宋_GB2312" w:cs="仿宋_GB2312"/>
          <w:color w:val="auto"/>
          <w:sz w:val="32"/>
          <w:szCs w:val="32"/>
          <w:lang w:val="en-US" w:eastAsia="zh-CN"/>
        </w:rPr>
        <w:t>地面须平整防滑，不得设置影响疏散逃生的广告牌、铁栅栏，且无直角、锐角等存在安全隐患的尖锐物、障碍物等。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40" w:firstLineChars="200"/>
        <w:jc w:val="both"/>
        <w:textAlignment w:val="auto"/>
        <w:outlineLvl w:val="9"/>
        <w:rPr>
          <w:rFonts w:hint="eastAsia"/>
          <w:color w:val="auto"/>
          <w:lang w:val="en-US" w:eastAsia="zh-CN"/>
        </w:rPr>
      </w:pPr>
      <w:r>
        <w:rPr>
          <w:rFonts w:hint="eastAsia" w:ascii="黑体" w:hAnsi="黑体" w:eastAsia="黑体" w:cs="黑体"/>
          <w:b w:val="0"/>
          <w:bCs w:val="0"/>
          <w:color w:val="auto"/>
          <w:kern w:val="0"/>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观赏点</w:t>
      </w:r>
      <w:r>
        <w:rPr>
          <w:rFonts w:hint="eastAsia" w:ascii="仿宋_GB2312" w:hAnsi="仿宋_GB2312" w:eastAsia="仿宋_GB2312" w:cs="仿宋_GB2312"/>
          <w:color w:val="auto"/>
          <w:kern w:val="0"/>
          <w:sz w:val="32"/>
          <w:szCs w:val="32"/>
        </w:rPr>
        <w:t>每50㎡</w:t>
      </w:r>
      <w:r>
        <w:rPr>
          <w:rFonts w:hint="eastAsia" w:ascii="仿宋_GB2312" w:hAnsi="仿宋_GB2312" w:eastAsia="仿宋_GB2312" w:cs="仿宋_GB2312"/>
          <w:color w:val="auto"/>
          <w:kern w:val="0"/>
          <w:sz w:val="32"/>
          <w:szCs w:val="32"/>
          <w:lang w:val="en-US" w:eastAsia="zh-CN"/>
        </w:rPr>
        <w:t>至少</w:t>
      </w:r>
      <w:r>
        <w:rPr>
          <w:rFonts w:hint="eastAsia" w:ascii="仿宋_GB2312" w:hAnsi="仿宋_GB2312" w:eastAsia="仿宋_GB2312" w:cs="仿宋_GB2312"/>
          <w:color w:val="auto"/>
          <w:kern w:val="0"/>
          <w:sz w:val="32"/>
          <w:szCs w:val="32"/>
        </w:rPr>
        <w:t>配备4kg的干粉灭火器1具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应对消防器材做好日常维护、保养，确保在应急状态下正常使用。同时</w:t>
      </w:r>
      <w:r>
        <w:rPr>
          <w:rFonts w:hint="eastAsia" w:ascii="仿宋_GB2312" w:hAnsi="仿宋_GB2312" w:eastAsia="仿宋_GB2312" w:cs="仿宋_GB2312"/>
          <w:color w:val="auto"/>
          <w:kern w:val="0"/>
          <w:sz w:val="32"/>
          <w:szCs w:val="32"/>
          <w:lang w:eastAsia="zh-CN"/>
        </w:rPr>
        <w:t>要</w:t>
      </w:r>
      <w:r>
        <w:rPr>
          <w:rFonts w:hint="eastAsia" w:ascii="仿宋_GB2312" w:hAnsi="仿宋_GB2312" w:eastAsia="仿宋_GB2312" w:cs="仿宋_GB2312"/>
          <w:color w:val="auto"/>
          <w:kern w:val="0"/>
          <w:sz w:val="32"/>
          <w:szCs w:val="32"/>
          <w:lang w:val="en-US" w:eastAsia="zh-CN"/>
        </w:rPr>
        <w:t>做好观赏点的日常巡查、维护和管理，负责人应对上述巡查发现的问题及时整改</w:t>
      </w:r>
      <w:r>
        <w:rPr>
          <w:rFonts w:hint="eastAsia" w:ascii="仿宋_GB2312" w:hAnsi="仿宋_GB2312" w:eastAsia="仿宋_GB2312" w:cs="仿宋_GB2312"/>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kern w:val="0"/>
          <w:sz w:val="32"/>
          <w:szCs w:val="32"/>
          <w:highlight w:val="none"/>
          <w:lang w:val="en-US" w:eastAsia="zh-CN"/>
        </w:rPr>
        <w:t>第七条</w:t>
      </w:r>
      <w:r>
        <w:rPr>
          <w:rFonts w:hint="eastAsia" w:ascii="楷体_GB2312" w:hAnsi="仿宋_GB2312" w:eastAsia="楷体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观赏点及安全逃生（疏散）通道均须自行无死角安装符合国标400万像素高清监控摄像头，通过硬盘录像机存储，监控视频存储时间应不少于15天。工作人员应严格遵守保密规定,不得擅自泄露和对外提供监控录像资料。</w:t>
      </w:r>
    </w:p>
    <w:p>
      <w:pPr>
        <w:pStyle w:val="2"/>
        <w:ind w:firstLine="640" w:firstLineChars="200"/>
        <w:jc w:val="both"/>
        <w:rPr>
          <w:rFonts w:hint="default"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0"/>
          <w:sz w:val="32"/>
          <w:szCs w:val="32"/>
          <w:highlight w:val="none"/>
          <w:lang w:val="en-US" w:eastAsia="zh-CN"/>
        </w:rPr>
        <w:t xml:space="preserve">第八条 </w:t>
      </w:r>
      <w:r>
        <w:rPr>
          <w:rFonts w:hint="eastAsia" w:ascii="仿宋_GB2312" w:hAnsi="仿宋_GB2312" w:eastAsia="仿宋_GB2312" w:cs="仿宋_GB2312"/>
          <w:color w:val="auto"/>
          <w:kern w:val="0"/>
          <w:sz w:val="32"/>
          <w:szCs w:val="32"/>
          <w:highlight w:val="none"/>
          <w:lang w:val="en-US" w:eastAsia="zh-CN"/>
        </w:rPr>
        <w:t xml:space="preserve"> 观赏点</w:t>
      </w:r>
      <w:r>
        <w:rPr>
          <w:rFonts w:hint="eastAsia" w:ascii="仿宋_GB2312" w:hAnsi="仿宋_GB2312" w:eastAsia="仿宋_GB2312" w:cs="仿宋_GB2312"/>
          <w:color w:val="auto"/>
          <w:kern w:val="2"/>
          <w:sz w:val="32"/>
          <w:szCs w:val="32"/>
          <w:highlight w:val="none"/>
          <w:lang w:val="en-US" w:eastAsia="zh-CN" w:bidi="ar-SA"/>
        </w:rPr>
        <w:t>经营者须通过文昌数字中台进行游客信息实名制登记备案。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黑体" w:hAnsi="黑体" w:eastAsia="黑体" w:cs="黑体"/>
          <w:b w:val="0"/>
          <w:bCs w:val="0"/>
          <w:color w:val="auto"/>
          <w:kern w:val="0"/>
          <w:sz w:val="32"/>
          <w:szCs w:val="32"/>
          <w:lang w:val="en-US" w:eastAsia="zh-CN"/>
        </w:rPr>
        <w:t>第九条</w:t>
      </w:r>
      <w:r>
        <w:rPr>
          <w:rFonts w:hint="eastAsia" w:ascii="楷体_GB2312" w:hAnsi="仿宋_GB2312" w:eastAsia="楷体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观赏点要设置一层四周闭环护栏，高度不低于1.5米。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0"/>
          <w:sz w:val="32"/>
          <w:szCs w:val="32"/>
          <w:lang w:val="en-US" w:eastAsia="zh-CN"/>
        </w:rPr>
        <w:t>第十条</w:t>
      </w:r>
      <w:r>
        <w:rPr>
          <w:rFonts w:hint="eastAsia" w:ascii="楷体_GB2312" w:hAnsi="仿宋_GB2312" w:eastAsia="楷体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观赏点须满足《工程结构通用规范》规定屋面承载力要求，每1.5平方米不超过1人为宜，须在观赏点的入口和平台醒目位置张贴最大荷载的人员数量，现场应按顺序张贴座位号或站位号。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lang w:val="en-US" w:eastAsia="zh-CN"/>
        </w:rPr>
        <w:t xml:space="preserve">第十一条  </w:t>
      </w:r>
      <w:r>
        <w:rPr>
          <w:rFonts w:hint="eastAsia" w:ascii="仿宋_GB2312" w:hAnsi="仿宋_GB2312" w:eastAsia="仿宋_GB2312" w:cs="仿宋_GB2312"/>
          <w:color w:val="auto"/>
          <w:kern w:val="0"/>
          <w:sz w:val="32"/>
          <w:szCs w:val="32"/>
          <w:lang w:val="en-US" w:eastAsia="zh-CN"/>
        </w:rPr>
        <w:t>每</w:t>
      </w:r>
      <w:bookmarkStart w:id="0" w:name="_GoBack"/>
      <w:bookmarkEnd w:id="0"/>
      <w:r>
        <w:rPr>
          <w:rFonts w:hint="eastAsia" w:ascii="仿宋_GB2312" w:hAnsi="仿宋_GB2312" w:eastAsia="仿宋_GB2312" w:cs="仿宋_GB2312"/>
          <w:color w:val="auto"/>
          <w:kern w:val="0"/>
          <w:sz w:val="32"/>
          <w:szCs w:val="32"/>
          <w:lang w:val="en-US" w:eastAsia="zh-CN"/>
        </w:rPr>
        <w:t>个</w:t>
      </w:r>
      <w:r>
        <w:rPr>
          <w:rFonts w:hint="eastAsia" w:ascii="仿宋_GB2312" w:hAnsi="仿宋_GB2312" w:eastAsia="仿宋_GB2312" w:cs="仿宋_GB2312"/>
          <w:color w:val="auto"/>
          <w:kern w:val="0"/>
          <w:sz w:val="32"/>
          <w:szCs w:val="32"/>
          <w:lang w:val="en-US" w:eastAsia="zh-CN"/>
        </w:rPr>
        <w:t>观赏点</w:t>
      </w:r>
      <w:r>
        <w:rPr>
          <w:rFonts w:hint="eastAsia" w:ascii="仿宋_GB2312" w:hAnsi="仿宋_GB2312" w:eastAsia="仿宋_GB2312" w:cs="仿宋_GB2312"/>
          <w:color w:val="auto"/>
          <w:sz w:val="32"/>
          <w:szCs w:val="32"/>
          <w:lang w:val="en-US" w:eastAsia="zh-CN"/>
        </w:rPr>
        <w:t>要设置2名管理人员，具体负责维护观赏点的安全秩序。观赏航天发射</w:t>
      </w:r>
      <w:r>
        <w:rPr>
          <w:rFonts w:hint="default" w:ascii="仿宋_GB2312" w:hAnsi="仿宋_GB2312" w:eastAsia="仿宋_GB2312" w:cs="仿宋_GB2312"/>
          <w:color w:val="auto"/>
          <w:sz w:val="32"/>
          <w:szCs w:val="32"/>
          <w:lang w:val="en-US" w:eastAsia="zh-CN"/>
        </w:rPr>
        <w:t>前，向观众</w:t>
      </w:r>
      <w:r>
        <w:rPr>
          <w:rFonts w:hint="eastAsia" w:ascii="仿宋_GB2312" w:hAnsi="仿宋_GB2312" w:eastAsia="仿宋_GB2312" w:cs="仿宋_GB2312"/>
          <w:color w:val="auto"/>
          <w:sz w:val="32"/>
          <w:szCs w:val="32"/>
          <w:lang w:val="en-US" w:eastAsia="zh-CN"/>
        </w:rPr>
        <w:t>讲解</w:t>
      </w:r>
      <w:r>
        <w:rPr>
          <w:rFonts w:hint="default" w:ascii="仿宋_GB2312" w:hAnsi="仿宋_GB2312" w:eastAsia="仿宋_GB2312" w:cs="仿宋_GB2312"/>
          <w:color w:val="auto"/>
          <w:sz w:val="32"/>
          <w:szCs w:val="32"/>
          <w:lang w:val="en-US" w:eastAsia="zh-CN"/>
        </w:rPr>
        <w:t>应急疏散逃生注意事项</w:t>
      </w:r>
      <w:r>
        <w:rPr>
          <w:rFonts w:hint="eastAsia" w:ascii="仿宋_GB2312" w:hAnsi="仿宋_GB2312" w:eastAsia="仿宋_GB2312" w:cs="仿宋_GB2312"/>
          <w:color w:val="auto"/>
          <w:sz w:val="32"/>
          <w:szCs w:val="32"/>
          <w:lang w:val="en-US" w:eastAsia="zh-CN"/>
        </w:rPr>
        <w:t>等</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p>
    <w:p>
      <w:pPr>
        <w:pStyle w:val="3"/>
        <w:jc w:val="both"/>
        <w:rPr>
          <w:rFonts w:hint="eastAsia"/>
          <w:color w:val="auto"/>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2880" w:firstLineChars="900"/>
        <w:jc w:val="both"/>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第三章  服务标准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第十二条</w:t>
      </w:r>
      <w:r>
        <w:rPr>
          <w:rFonts w:hint="eastAsia" w:ascii="楷体_GB2312" w:hAnsi="仿宋_GB2312" w:eastAsia="楷体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观赏点从事食品销售和餐饮服务活动应当依法取得公共场所卫生许可证、食品经营许可证</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val="en-US" w:eastAsia="zh-CN"/>
        </w:rPr>
        <w:t>第十三条</w:t>
      </w:r>
      <w:r>
        <w:rPr>
          <w:rFonts w:hint="eastAsia" w:ascii="楷体_GB2312" w:hAnsi="仿宋_GB2312" w:eastAsia="楷体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观赏点须在合适位置或区域</w:t>
      </w:r>
      <w:r>
        <w:rPr>
          <w:rFonts w:hint="eastAsia" w:ascii="仿宋_GB2312" w:hAnsi="仿宋_GB2312" w:eastAsia="仿宋_GB2312" w:cs="仿宋_GB2312"/>
          <w:color w:val="auto"/>
          <w:sz w:val="32"/>
          <w:szCs w:val="32"/>
          <w:lang w:val="en-US" w:eastAsia="zh-CN"/>
        </w:rPr>
        <w:t>放置安全手册、文昌文旅宣传手册等资料。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val="en-US" w:eastAsia="zh-CN"/>
        </w:rPr>
        <w:t>第十四条</w:t>
      </w:r>
      <w:r>
        <w:rPr>
          <w:rFonts w:hint="eastAsia" w:ascii="楷体_GB2312" w:hAnsi="仿宋_GB2312" w:eastAsia="楷体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为了</w:t>
      </w:r>
      <w:r>
        <w:rPr>
          <w:rFonts w:hint="eastAsia" w:ascii="仿宋_GB2312" w:hAnsi="仿宋_GB2312" w:eastAsia="仿宋_GB2312" w:cs="仿宋_GB2312"/>
          <w:color w:val="auto"/>
          <w:sz w:val="32"/>
          <w:szCs w:val="32"/>
          <w:lang w:val="en-US" w:eastAsia="zh-CN"/>
        </w:rPr>
        <w:t>便于游客识别，观赏点的工作人员需穿着工作服，工作服由观赏点的经营者提供，可自主设计具有文昌历史文化、民间风俗、航天主题特色等元素图案。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观赏点应当无遮挡，视野良好，提供休息座椅；可根据航天旅游需求设置打卡点，提供望远镜等设备，尽可能满足游客个性化、多元化需求。</w:t>
      </w:r>
    </w:p>
    <w:p>
      <w:pPr>
        <w:widowControl/>
        <w:overflowPunct/>
        <w:spacing w:line="600" w:lineRule="exact"/>
        <w:ind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第十六条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sz w:val="32"/>
          <w:szCs w:val="32"/>
          <w:lang w:val="en-US" w:eastAsia="zh-CN"/>
        </w:rPr>
        <w:t>航天事业是国家科技实力和综合国力的重要象征，观看火箭发射具有公益性、公共性，观赏点不得直接对观看火箭发射收取费用。提供相关服务的（例如提供的桌椅、水果、火箭知识讲解等），可合法合规合理根据市场规则收取质价相符的费用。</w:t>
      </w:r>
      <w:r>
        <w:rPr>
          <w:rFonts w:hint="eastAsia" w:ascii="仿宋_GB2312" w:hAnsi="仿宋_GB2312" w:eastAsia="仿宋_GB2312" w:cs="仿宋_GB2312"/>
          <w:color w:val="auto"/>
          <w:sz w:val="32"/>
          <w:szCs w:val="32"/>
          <w:lang w:val="en-US" w:eastAsia="zh-CN"/>
        </w:rPr>
        <w:t>观赏点的服务收费标准应当明码标价，</w:t>
      </w:r>
      <w:r>
        <w:rPr>
          <w:rFonts w:hint="eastAsia" w:ascii="仿宋_GB2312" w:hAnsi="仿宋_GB2312" w:eastAsia="仿宋_GB2312" w:cs="仿宋_GB2312"/>
          <w:b w:val="0"/>
          <w:bCs w:val="0"/>
          <w:sz w:val="32"/>
          <w:szCs w:val="32"/>
          <w:lang w:val="en-US" w:eastAsia="zh-CN"/>
        </w:rPr>
        <w:t>明确服务内容和对应服务事项的收费标准</w:t>
      </w:r>
      <w:r>
        <w:rPr>
          <w:rFonts w:hint="eastAsia" w:ascii="仿宋_GB2312" w:hAnsi="仿宋_GB2312" w:eastAsia="仿宋_GB2312" w:cs="仿宋_GB2312"/>
          <w:color w:val="auto"/>
          <w:sz w:val="32"/>
          <w:szCs w:val="32"/>
          <w:lang w:val="en-US" w:eastAsia="zh-CN"/>
        </w:rPr>
        <w:t>。</w:t>
      </w:r>
    </w:p>
    <w:p>
      <w:pPr>
        <w:widowControl/>
        <w:overflowPunct/>
        <w:spacing w:line="600" w:lineRule="exact"/>
        <w:ind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第十七条 </w:t>
      </w:r>
      <w:r>
        <w:rPr>
          <w:rFonts w:hint="eastAsia" w:ascii="仿宋_GB2312" w:hAnsi="仿宋_GB2312" w:eastAsia="仿宋_GB2312" w:cs="仿宋_GB2312"/>
          <w:color w:val="auto"/>
          <w:sz w:val="32"/>
          <w:szCs w:val="32"/>
          <w:lang w:val="en-US" w:eastAsia="zh-CN"/>
        </w:rPr>
        <w:t xml:space="preserve"> 观赏点经营者不得宣传与观赏点设施、服务内容不一致的信息；不得使用</w:t>
      </w:r>
      <w:r>
        <w:rPr>
          <w:rFonts w:hint="eastAsia" w:ascii="仿宋_GB2312" w:hAnsi="仿宋_GB2312" w:eastAsia="仿宋_GB2312" w:cs="仿宋_GB2312"/>
          <w:b w:val="0"/>
          <w:bCs w:val="0"/>
          <w:sz w:val="32"/>
          <w:szCs w:val="32"/>
          <w:lang w:val="en-US" w:eastAsia="zh-CN"/>
        </w:rPr>
        <w:t>容易混淆理解、产生歧义的表述，误导消费者；不得利用虚假宣传、虚假价格等手段欺骗欺诈消费者。</w:t>
      </w:r>
      <w:r>
        <w:rPr>
          <w:rFonts w:hint="eastAsia" w:ascii="仿宋_GB2312" w:hAnsi="仿宋_GB2312" w:eastAsia="仿宋_GB2312" w:cs="仿宋_GB2312"/>
          <w:color w:val="auto"/>
          <w:sz w:val="32"/>
          <w:szCs w:val="32"/>
          <w:lang w:val="en-US" w:eastAsia="zh-CN"/>
        </w:rPr>
        <w:t>不得天价收费、扰乱市场秩序；不得出现法律、法规禁止的其他不正当行为。</w:t>
      </w:r>
    </w:p>
    <w:p>
      <w:pPr>
        <w:overflowPunct w:val="0"/>
        <w:spacing w:line="500" w:lineRule="exact"/>
        <w:ind w:firstLine="3200" w:firstLineChars="1000"/>
        <w:jc w:val="both"/>
        <w:outlineLvl w:val="0"/>
        <w:rPr>
          <w:rFonts w:hint="eastAsia" w:ascii="黑体" w:hAnsi="黑体" w:eastAsia="黑体"/>
          <w:color w:val="auto"/>
          <w:sz w:val="32"/>
          <w:szCs w:val="32"/>
          <w:lang w:eastAsia="zh-CN"/>
        </w:rPr>
      </w:pPr>
    </w:p>
    <w:p>
      <w:pPr>
        <w:overflowPunct w:val="0"/>
        <w:spacing w:line="500" w:lineRule="exact"/>
        <w:ind w:firstLine="3200" w:firstLineChars="1000"/>
        <w:jc w:val="both"/>
        <w:outlineLvl w:val="0"/>
        <w:rPr>
          <w:rFonts w:hint="eastAsia" w:ascii="黑体" w:hAnsi="黑体" w:eastAsia="黑体" w:cs="黑体"/>
          <w:color w:val="auto"/>
          <w:kern w:val="0"/>
          <w:sz w:val="32"/>
          <w:szCs w:val="32"/>
          <w:lang w:val="en-US" w:eastAsia="zh-CN"/>
        </w:rPr>
      </w:pPr>
      <w:r>
        <w:rPr>
          <w:rFonts w:hint="eastAsia" w:ascii="黑体" w:hAnsi="黑体" w:eastAsia="黑体"/>
          <w:color w:val="auto"/>
          <w:sz w:val="32"/>
          <w:szCs w:val="32"/>
          <w:lang w:eastAsia="zh-CN"/>
        </w:rPr>
        <w:t>第四章</w:t>
      </w:r>
      <w:r>
        <w:rPr>
          <w:rFonts w:hint="eastAsia" w:ascii="黑体" w:hAnsi="黑体" w:eastAsia="黑体"/>
          <w:color w:val="auto"/>
          <w:sz w:val="32"/>
          <w:szCs w:val="32"/>
          <w:lang w:val="en-US" w:eastAsia="zh-CN"/>
        </w:rPr>
        <w:t xml:space="preserve">  认定程序</w:t>
      </w:r>
    </w:p>
    <w:p>
      <w:pPr>
        <w:overflowPunct w:val="0"/>
        <w:autoSpaceDE/>
        <w:autoSpaceDN/>
        <w:adjustRightInd/>
        <w:spacing w:line="560" w:lineRule="exact"/>
        <w:ind w:firstLine="640" w:firstLineChars="200"/>
        <w:jc w:val="both"/>
        <w:rPr>
          <w:rFonts w:hint="eastAsia" w:ascii="黑体" w:hAnsi="黑体" w:eastAsia="黑体" w:cs="黑体"/>
          <w:color w:val="auto"/>
          <w:kern w:val="0"/>
          <w:sz w:val="32"/>
          <w:szCs w:val="32"/>
          <w:lang w:val="en-US" w:eastAsia="zh-CN"/>
        </w:rPr>
      </w:pPr>
    </w:p>
    <w:p>
      <w:pPr>
        <w:overflowPunct w:val="0"/>
        <w:autoSpaceDE/>
        <w:autoSpaceDN/>
        <w:adjustRightIn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val="en-US" w:eastAsia="zh-CN"/>
        </w:rPr>
        <w:t>第十八条</w:t>
      </w:r>
      <w:r>
        <w:rPr>
          <w:rFonts w:hint="eastAsia" w:ascii="仿宋_GB2312" w:eastAsia="仿宋_GB2312" w:cs="宋体"/>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观赏点经营者</w:t>
      </w:r>
      <w:r>
        <w:rPr>
          <w:rFonts w:hint="default" w:ascii="仿宋_GB2312" w:hAnsi="仿宋_GB2312" w:eastAsia="仿宋_GB2312" w:cs="仿宋_GB2312"/>
          <w:color w:val="auto"/>
          <w:kern w:val="0"/>
          <w:sz w:val="32"/>
          <w:szCs w:val="32"/>
          <w:lang w:val="en-US" w:eastAsia="zh-CN"/>
        </w:rPr>
        <w:t>应</w:t>
      </w:r>
      <w:r>
        <w:rPr>
          <w:rFonts w:hint="eastAsia" w:ascii="仿宋_GB2312" w:hAnsi="仿宋_GB2312" w:eastAsia="仿宋_GB2312" w:cs="仿宋_GB2312"/>
          <w:color w:val="auto"/>
          <w:kern w:val="0"/>
          <w:sz w:val="32"/>
          <w:szCs w:val="32"/>
          <w:lang w:val="en-US" w:eastAsia="zh-CN"/>
        </w:rPr>
        <w:t>向市市场监督管理局申请</w:t>
      </w:r>
      <w:r>
        <w:rPr>
          <w:rFonts w:hint="default" w:ascii="仿宋_GB2312" w:hAnsi="仿宋_GB2312" w:eastAsia="仿宋_GB2312" w:cs="仿宋_GB2312"/>
          <w:color w:val="auto"/>
          <w:kern w:val="0"/>
          <w:sz w:val="32"/>
          <w:szCs w:val="32"/>
          <w:lang w:val="en-US" w:eastAsia="zh-CN"/>
        </w:rPr>
        <w:t>取得</w:t>
      </w:r>
      <w:r>
        <w:rPr>
          <w:rFonts w:hint="eastAsia" w:ascii="仿宋_GB2312" w:hAnsi="仿宋_GB2312" w:eastAsia="仿宋_GB2312" w:cs="仿宋_GB2312"/>
          <w:color w:val="auto"/>
          <w:kern w:val="0"/>
          <w:sz w:val="32"/>
          <w:szCs w:val="32"/>
          <w:lang w:val="en-US" w:eastAsia="zh-CN"/>
        </w:rPr>
        <w:t>营业执照</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观赏点权属人</w:t>
      </w:r>
      <w:r>
        <w:rPr>
          <w:rFonts w:hint="default" w:ascii="仿宋_GB2312" w:hAnsi="仿宋_GB2312" w:eastAsia="仿宋_GB2312" w:cs="仿宋_GB2312"/>
          <w:color w:val="auto"/>
          <w:kern w:val="0"/>
          <w:sz w:val="32"/>
          <w:szCs w:val="32"/>
          <w:lang w:val="en-US" w:eastAsia="zh-CN"/>
        </w:rPr>
        <w:t>不得</w:t>
      </w:r>
      <w:r>
        <w:rPr>
          <w:rFonts w:hint="eastAsia" w:ascii="仿宋_GB2312" w:hAnsi="仿宋_GB2312" w:eastAsia="仿宋_GB2312" w:cs="仿宋_GB2312"/>
          <w:color w:val="auto"/>
          <w:kern w:val="0"/>
          <w:sz w:val="32"/>
          <w:szCs w:val="32"/>
          <w:lang w:val="en-US" w:eastAsia="zh-CN"/>
        </w:rPr>
        <w:t>向</w:t>
      </w:r>
      <w:r>
        <w:rPr>
          <w:rFonts w:hint="default" w:ascii="仿宋_GB2312" w:hAnsi="仿宋_GB2312" w:eastAsia="仿宋_GB2312" w:cs="仿宋_GB2312"/>
          <w:color w:val="auto"/>
          <w:kern w:val="0"/>
          <w:sz w:val="32"/>
          <w:szCs w:val="32"/>
          <w:lang w:val="en-US" w:eastAsia="zh-CN"/>
        </w:rPr>
        <w:t>无合法经营资质的个人或集体</w:t>
      </w:r>
      <w:r>
        <w:rPr>
          <w:rFonts w:hint="eastAsia" w:ascii="仿宋_GB2312" w:hAnsi="仿宋_GB2312" w:eastAsia="仿宋_GB2312" w:cs="仿宋_GB2312"/>
          <w:color w:val="auto"/>
          <w:kern w:val="0"/>
          <w:sz w:val="32"/>
          <w:szCs w:val="32"/>
          <w:lang w:val="en-US" w:eastAsia="zh-CN"/>
        </w:rPr>
        <w:t>出租或提供</w:t>
      </w:r>
      <w:r>
        <w:rPr>
          <w:rFonts w:hint="default" w:ascii="仿宋_GB2312" w:hAnsi="仿宋_GB2312" w:eastAsia="仿宋_GB2312" w:cs="仿宋_GB2312"/>
          <w:color w:val="auto"/>
          <w:kern w:val="0"/>
          <w:sz w:val="32"/>
          <w:szCs w:val="32"/>
          <w:lang w:val="en-US" w:eastAsia="zh-CN"/>
        </w:rPr>
        <w:t>开展</w:t>
      </w:r>
      <w:r>
        <w:rPr>
          <w:rFonts w:hint="eastAsia" w:ascii="仿宋_GB2312" w:hAnsi="仿宋_GB2312" w:eastAsia="仿宋_GB2312" w:cs="仿宋_GB2312"/>
          <w:color w:val="auto"/>
          <w:kern w:val="0"/>
          <w:sz w:val="32"/>
          <w:szCs w:val="32"/>
          <w:lang w:val="en-US" w:eastAsia="zh-CN"/>
        </w:rPr>
        <w:t>航天发射观赏业务。</w:t>
      </w:r>
      <w:r>
        <w:rPr>
          <w:rFonts w:hint="eastAsia" w:ascii="仿宋_GB2312" w:eastAsia="仿宋_GB2312" w:cs="宋体"/>
          <w:color w:val="auto"/>
          <w:kern w:val="0"/>
          <w:sz w:val="32"/>
          <w:szCs w:val="32"/>
          <w:lang w:val="en-US" w:eastAsia="zh-CN"/>
        </w:rPr>
        <w:t xml:space="preserve"> </w:t>
      </w:r>
    </w:p>
    <w:p>
      <w:pPr>
        <w:pStyle w:val="2"/>
        <w:ind w:firstLine="640" w:firstLineChars="200"/>
        <w:jc w:val="both"/>
        <w:rPr>
          <w:rFonts w:hint="eastAsia" w:ascii="仿宋_GB2312"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第十九条  </w:t>
      </w:r>
      <w:r>
        <w:rPr>
          <w:rFonts w:hint="eastAsia" w:ascii="仿宋_GB2312" w:hAnsi="仿宋_GB2312" w:eastAsia="仿宋_GB2312" w:cs="仿宋_GB2312"/>
          <w:color w:val="auto"/>
          <w:sz w:val="32"/>
          <w:szCs w:val="32"/>
          <w:lang w:val="en-US" w:eastAsia="zh-CN"/>
        </w:rPr>
        <w:t>观赏点经营者根据自身条件，向属地镇政府旅游和文化办公室提交申请表和备案资料，</w:t>
      </w:r>
      <w:r>
        <w:rPr>
          <w:rFonts w:hint="eastAsia" w:ascii="仿宋_GB2312" w:eastAsia="仿宋_GB2312" w:cs="宋体"/>
          <w:color w:val="auto"/>
          <w:kern w:val="0"/>
          <w:sz w:val="32"/>
          <w:szCs w:val="32"/>
          <w:lang w:eastAsia="zh-CN"/>
        </w:rPr>
        <w:t>由属地镇政府根据本规定的条款进行初审并作出意见，初审后由属地镇政府向市旅游和文化广电体育局监督管理室提交申请表和备案资料，市旅游和文化广电体育局收到申请表和备案资料后，组织市综合行政执法局、市市场监督管理局、市公安局、市应急管理局、市消防救援支队等单位现场核查。</w:t>
      </w:r>
      <w:r>
        <w:rPr>
          <w:rFonts w:hint="eastAsia" w:ascii="仿宋_GB2312" w:eastAsia="仿宋_GB2312" w:cs="宋体"/>
          <w:color w:val="auto"/>
          <w:kern w:val="0"/>
          <w:sz w:val="32"/>
          <w:szCs w:val="32"/>
          <w:lang w:val="en-US" w:eastAsia="zh-CN"/>
        </w:rPr>
        <w:t>符合本规定要求的，由市旅游和文化广电体育局进行备案，纳入文昌市航天发射观赏点白名单，颁发标识标牌，并向社会公布。</w:t>
      </w:r>
    </w:p>
    <w:p>
      <w:pPr>
        <w:pStyle w:val="3"/>
        <w:ind w:left="0" w:leftChars="0" w:firstLine="640" w:firstLineChars="200"/>
        <w:rPr>
          <w:rFonts w:hint="default" w:ascii="黑体" w:hAnsi="黑体" w:eastAsia="黑体"/>
          <w:color w:val="auto"/>
          <w:sz w:val="32"/>
          <w:szCs w:val="32"/>
          <w:lang w:val="en-US" w:eastAsia="zh-CN"/>
        </w:rPr>
      </w:pPr>
      <w:r>
        <w:rPr>
          <w:rFonts w:hint="eastAsia" w:ascii="黑体" w:hAnsi="黑体" w:eastAsia="黑体" w:cs="黑体"/>
          <w:color w:val="auto"/>
          <w:kern w:val="0"/>
          <w:sz w:val="32"/>
          <w:szCs w:val="32"/>
          <w:lang w:val="en-US" w:eastAsia="zh-CN"/>
        </w:rPr>
        <w:t xml:space="preserve">第二十条 </w:t>
      </w:r>
      <w:r>
        <w:rPr>
          <w:rFonts w:hint="eastAsia" w:ascii="仿宋_GB2312" w:hAnsi="仿宋_GB2312" w:eastAsia="仿宋_GB2312" w:cs="仿宋_GB2312"/>
          <w:color w:val="auto"/>
          <w:kern w:val="0"/>
          <w:sz w:val="32"/>
          <w:szCs w:val="32"/>
          <w:lang w:val="en-US" w:eastAsia="zh-CN"/>
        </w:rPr>
        <w:t xml:space="preserve"> 市</w:t>
      </w:r>
      <w:r>
        <w:rPr>
          <w:rFonts w:hint="eastAsia" w:ascii="仿宋_GB2312" w:eastAsia="仿宋_GB2312" w:cs="宋体"/>
          <w:color w:val="auto"/>
          <w:kern w:val="0"/>
          <w:sz w:val="32"/>
          <w:szCs w:val="32"/>
          <w:lang w:eastAsia="zh-CN"/>
        </w:rPr>
        <w:t>旅游和文化广电体育局牵头市综合行政执法局、市市场监督管理局、市公安局、市应急管理局、市消防支队定期或不定期</w:t>
      </w:r>
      <w:r>
        <w:rPr>
          <w:rFonts w:hint="eastAsia" w:ascii="仿宋_GB2312" w:hAnsi="仿宋_GB2312" w:eastAsia="仿宋_GB2312" w:cs="仿宋_GB2312"/>
          <w:color w:val="auto"/>
          <w:kern w:val="0"/>
          <w:sz w:val="32"/>
          <w:szCs w:val="32"/>
          <w:lang w:val="en-US" w:eastAsia="zh-CN"/>
        </w:rPr>
        <w:t>对已进行备案的航天发射观赏点进行检查，游客满意度较高、安全设施维护较好、未发生社会舆情、无旅游投诉的观赏点，市旅游和</w:t>
      </w:r>
      <w:r>
        <w:rPr>
          <w:rFonts w:hint="eastAsia" w:ascii="仿宋_GB2312" w:eastAsia="仿宋_GB2312" w:cs="宋体"/>
          <w:color w:val="auto"/>
          <w:kern w:val="0"/>
          <w:sz w:val="32"/>
          <w:szCs w:val="32"/>
          <w:lang w:eastAsia="zh-CN"/>
        </w:rPr>
        <w:t>文化广电体育局将在文昌市官方媒体账号上进行宣传；游客满意度较低、安全设施维护较差、发生</w:t>
      </w:r>
      <w:r>
        <w:rPr>
          <w:rFonts w:hint="eastAsia" w:ascii="仿宋_GB2312" w:eastAsia="仿宋_GB2312" w:cs="宋体"/>
          <w:color w:val="auto"/>
          <w:kern w:val="0"/>
          <w:sz w:val="32"/>
          <w:szCs w:val="32"/>
          <w:lang w:val="en-US" w:eastAsia="zh-CN"/>
        </w:rPr>
        <w:t>1次</w:t>
      </w:r>
      <w:r>
        <w:rPr>
          <w:rFonts w:hint="eastAsia" w:ascii="仿宋_GB2312" w:eastAsia="仿宋_GB2312" w:cs="宋体"/>
          <w:color w:val="auto"/>
          <w:kern w:val="0"/>
          <w:sz w:val="32"/>
          <w:szCs w:val="32"/>
          <w:lang w:eastAsia="zh-CN"/>
        </w:rPr>
        <w:t>社会舆情、有</w:t>
      </w:r>
      <w:r>
        <w:rPr>
          <w:rFonts w:hint="eastAsia" w:ascii="仿宋_GB2312" w:eastAsia="仿宋_GB2312" w:cs="宋体"/>
          <w:color w:val="auto"/>
          <w:kern w:val="0"/>
          <w:sz w:val="32"/>
          <w:szCs w:val="32"/>
          <w:lang w:val="en-US" w:eastAsia="zh-CN"/>
        </w:rPr>
        <w:t>5</w:t>
      </w:r>
      <w:r>
        <w:rPr>
          <w:rFonts w:hint="eastAsia" w:ascii="仿宋_GB2312" w:eastAsia="仿宋_GB2312" w:cs="宋体"/>
          <w:color w:val="auto"/>
          <w:kern w:val="0"/>
          <w:sz w:val="32"/>
          <w:szCs w:val="32"/>
          <w:lang w:eastAsia="zh-CN"/>
        </w:rPr>
        <w:t>次旅游投诉以上的观赏点，</w:t>
      </w:r>
      <w:r>
        <w:rPr>
          <w:rFonts w:hint="eastAsia" w:ascii="仿宋_GB2312" w:hAnsi="仿宋_GB2312" w:eastAsia="仿宋_GB2312" w:cs="仿宋_GB2312"/>
          <w:color w:val="auto"/>
          <w:kern w:val="0"/>
          <w:sz w:val="32"/>
          <w:szCs w:val="32"/>
          <w:lang w:val="en-US" w:eastAsia="zh-CN"/>
        </w:rPr>
        <w:t>市旅游和</w:t>
      </w:r>
      <w:r>
        <w:rPr>
          <w:rFonts w:hint="eastAsia" w:ascii="仿宋_GB2312" w:eastAsia="仿宋_GB2312" w:cs="宋体"/>
          <w:color w:val="auto"/>
          <w:kern w:val="0"/>
          <w:sz w:val="32"/>
          <w:szCs w:val="32"/>
          <w:lang w:eastAsia="zh-CN"/>
        </w:rPr>
        <w:t>文化广电体育局可结合实际对该观赏点进行通报、要求限期整改；情节严重的，取消备案资格，移出</w:t>
      </w:r>
      <w:r>
        <w:rPr>
          <w:rFonts w:hint="eastAsia" w:ascii="仿宋_GB2312" w:eastAsia="仿宋_GB2312" w:cs="宋体"/>
          <w:color w:val="auto"/>
          <w:kern w:val="0"/>
          <w:sz w:val="32"/>
          <w:szCs w:val="32"/>
          <w:lang w:val="en-US" w:eastAsia="zh-CN"/>
        </w:rPr>
        <w:t>文昌市航天发射观赏点白名单</w:t>
      </w:r>
      <w:r>
        <w:rPr>
          <w:rFonts w:hint="eastAsia" w:ascii="仿宋_GB2312" w:eastAsia="仿宋_GB2312" w:cs="宋体"/>
          <w:color w:val="auto"/>
          <w:kern w:val="0"/>
          <w:sz w:val="32"/>
          <w:szCs w:val="32"/>
          <w:lang w:eastAsia="zh-CN"/>
        </w:rPr>
        <w:t>。</w:t>
      </w:r>
      <w:r>
        <w:rPr>
          <w:rFonts w:hint="eastAsia" w:ascii="黑体" w:hAnsi="黑体" w:eastAsia="黑体"/>
          <w:color w:val="auto"/>
          <w:sz w:val="32"/>
          <w:szCs w:val="32"/>
          <w:lang w:val="en-US" w:eastAsia="zh-CN"/>
        </w:rPr>
        <w:t xml:space="preserve">                                                                                                                                                                                                                                                                                                                                                                                                                                                                    </w:t>
      </w:r>
    </w:p>
    <w:p>
      <w:pPr>
        <w:overflowPunct w:val="0"/>
        <w:spacing w:line="500" w:lineRule="exact"/>
        <w:ind w:firstLine="3200" w:firstLineChars="1000"/>
        <w:jc w:val="both"/>
        <w:outlineLvl w:val="0"/>
        <w:rPr>
          <w:rFonts w:hint="eastAsia" w:ascii="仿宋_GB2312" w:eastAsia="仿宋_GB2312" w:cs="宋体"/>
          <w:color w:val="auto"/>
          <w:kern w:val="0"/>
          <w:sz w:val="32"/>
          <w:szCs w:val="32"/>
          <w:lang w:val="en-US" w:eastAsia="zh-CN"/>
        </w:rPr>
      </w:pPr>
      <w:r>
        <w:rPr>
          <w:rFonts w:hint="eastAsia" w:ascii="黑体" w:hAnsi="黑体" w:eastAsia="黑体"/>
          <w:color w:val="auto"/>
          <w:sz w:val="32"/>
          <w:szCs w:val="32"/>
          <w:lang w:eastAsia="zh-CN"/>
        </w:rPr>
        <w:t>第五章</w:t>
      </w:r>
      <w:r>
        <w:rPr>
          <w:rFonts w:hint="eastAsia" w:ascii="黑体" w:hAnsi="黑体" w:eastAsia="黑体"/>
          <w:color w:val="auto"/>
          <w:sz w:val="32"/>
          <w:szCs w:val="32"/>
          <w:lang w:val="en-US" w:eastAsia="zh-CN"/>
        </w:rPr>
        <w:t xml:space="preserve">  附则</w:t>
      </w:r>
    </w:p>
    <w:p>
      <w:pPr>
        <w:pStyle w:val="2"/>
        <w:ind w:firstLine="640" w:firstLineChars="200"/>
        <w:jc w:val="both"/>
        <w:rPr>
          <w:rFonts w:hint="eastAsia" w:ascii="黑体" w:hAnsi="黑体" w:eastAsia="黑体" w:cs="黑体"/>
          <w:color w:val="auto"/>
          <w:kern w:val="0"/>
          <w:sz w:val="32"/>
          <w:szCs w:val="32"/>
          <w:lang w:val="en-US" w:eastAsia="zh-CN"/>
        </w:rPr>
      </w:pPr>
    </w:p>
    <w:p>
      <w:pPr>
        <w:pStyle w:val="2"/>
        <w:ind w:firstLine="640" w:firstLineChars="200"/>
        <w:jc w:val="both"/>
        <w:rPr>
          <w:rFonts w:hint="default" w:ascii="仿宋_GB2312"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第二十一条</w:t>
      </w:r>
      <w:r>
        <w:rPr>
          <w:rFonts w:hint="eastAsia" w:ascii="仿宋_GB2312" w:eastAsia="仿宋_GB2312" w:cs="宋体"/>
          <w:color w:val="auto"/>
          <w:kern w:val="0"/>
          <w:sz w:val="32"/>
          <w:szCs w:val="32"/>
          <w:lang w:val="en-US" w:eastAsia="zh-CN"/>
        </w:rPr>
        <w:t xml:space="preserve">  本规范自公布之日起30日以后施行，有效期为三年。若国家、海南省出台新的规范，按新规范执行。</w:t>
      </w:r>
    </w:p>
    <w:p>
      <w:pPr>
        <w:pStyle w:val="2"/>
        <w:ind w:firstLine="640" w:firstLineChars="200"/>
        <w:jc w:val="both"/>
        <w:rPr>
          <w:rFonts w:hint="default" w:ascii="仿宋_GB2312" w:eastAsia="仿宋_GB2312" w:cs="宋体"/>
          <w:color w:val="auto"/>
          <w:kern w:val="0"/>
          <w:sz w:val="32"/>
          <w:szCs w:val="32"/>
          <w:lang w:val="en-US" w:eastAsia="zh-CN"/>
        </w:rPr>
      </w:pPr>
      <w:r>
        <w:rPr>
          <w:rFonts w:hint="eastAsia" w:ascii="黑体" w:hAnsi="黑体" w:eastAsia="黑体" w:cs="黑体"/>
          <w:color w:val="auto"/>
          <w:kern w:val="0"/>
          <w:sz w:val="32"/>
          <w:szCs w:val="32"/>
          <w:lang w:val="en-US" w:eastAsia="zh-CN"/>
        </w:rPr>
        <w:t>第二十二条</w:t>
      </w:r>
      <w:r>
        <w:rPr>
          <w:rFonts w:hint="eastAsia" w:ascii="仿宋_GB2312" w:eastAsia="仿宋_GB2312" w:cs="宋体"/>
          <w:color w:val="auto"/>
          <w:kern w:val="0"/>
          <w:sz w:val="32"/>
          <w:szCs w:val="32"/>
          <w:lang w:val="en-US" w:eastAsia="zh-CN"/>
        </w:rPr>
        <w:t xml:space="preserve">  本规范最终解释权归文昌市旅游和文化广电体育局。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NmU0MjIzOWZhMTFiMmFhOTY0YjllMDEzNzRiZTAifQ=="/>
  </w:docVars>
  <w:rsids>
    <w:rsidRoot w:val="7A664BB4"/>
    <w:rsid w:val="0039298E"/>
    <w:rsid w:val="014065F1"/>
    <w:rsid w:val="030938C4"/>
    <w:rsid w:val="031E451D"/>
    <w:rsid w:val="03CF3A69"/>
    <w:rsid w:val="04826F47"/>
    <w:rsid w:val="04DE21B6"/>
    <w:rsid w:val="05C50289"/>
    <w:rsid w:val="06534049"/>
    <w:rsid w:val="06695AAF"/>
    <w:rsid w:val="06B238FA"/>
    <w:rsid w:val="074402CA"/>
    <w:rsid w:val="07506045"/>
    <w:rsid w:val="0778099B"/>
    <w:rsid w:val="07A24F93"/>
    <w:rsid w:val="09137F54"/>
    <w:rsid w:val="0A8235E3"/>
    <w:rsid w:val="0AA64F7E"/>
    <w:rsid w:val="0CBF0F36"/>
    <w:rsid w:val="0ED63EFE"/>
    <w:rsid w:val="0F307325"/>
    <w:rsid w:val="10154423"/>
    <w:rsid w:val="10B04C5C"/>
    <w:rsid w:val="13A97E33"/>
    <w:rsid w:val="141E2456"/>
    <w:rsid w:val="156C07C3"/>
    <w:rsid w:val="158E1A75"/>
    <w:rsid w:val="163D316A"/>
    <w:rsid w:val="16591EF9"/>
    <w:rsid w:val="174835AA"/>
    <w:rsid w:val="17B10B62"/>
    <w:rsid w:val="1849762F"/>
    <w:rsid w:val="18EB42C8"/>
    <w:rsid w:val="18F71640"/>
    <w:rsid w:val="19CA702A"/>
    <w:rsid w:val="1A3D12D5"/>
    <w:rsid w:val="1B0E67CD"/>
    <w:rsid w:val="1B397CEE"/>
    <w:rsid w:val="1BB25F45"/>
    <w:rsid w:val="1CAC2742"/>
    <w:rsid w:val="1CD40D81"/>
    <w:rsid w:val="1CED6A7B"/>
    <w:rsid w:val="1D363D46"/>
    <w:rsid w:val="1D6923E1"/>
    <w:rsid w:val="1D704365"/>
    <w:rsid w:val="1DBA57B1"/>
    <w:rsid w:val="1E256308"/>
    <w:rsid w:val="1E69026E"/>
    <w:rsid w:val="1EC91389"/>
    <w:rsid w:val="1EF108E0"/>
    <w:rsid w:val="1F5D40CE"/>
    <w:rsid w:val="1F784B5D"/>
    <w:rsid w:val="1FDC3F6B"/>
    <w:rsid w:val="20580C17"/>
    <w:rsid w:val="207672EF"/>
    <w:rsid w:val="20B47ACB"/>
    <w:rsid w:val="211A5ECC"/>
    <w:rsid w:val="216314BE"/>
    <w:rsid w:val="21717AB6"/>
    <w:rsid w:val="22606D29"/>
    <w:rsid w:val="236D1BF2"/>
    <w:rsid w:val="239006C7"/>
    <w:rsid w:val="241E3F25"/>
    <w:rsid w:val="242A7984"/>
    <w:rsid w:val="243C6BCF"/>
    <w:rsid w:val="250864FB"/>
    <w:rsid w:val="26974157"/>
    <w:rsid w:val="27147861"/>
    <w:rsid w:val="28E31299"/>
    <w:rsid w:val="29F24E28"/>
    <w:rsid w:val="2A936E18"/>
    <w:rsid w:val="2B7347A2"/>
    <w:rsid w:val="2B844FB6"/>
    <w:rsid w:val="2C50502C"/>
    <w:rsid w:val="2CE821DA"/>
    <w:rsid w:val="2DA84860"/>
    <w:rsid w:val="2DB80F46"/>
    <w:rsid w:val="2DF67CC1"/>
    <w:rsid w:val="2F6B3D97"/>
    <w:rsid w:val="306A22A0"/>
    <w:rsid w:val="31126B37"/>
    <w:rsid w:val="31707D40"/>
    <w:rsid w:val="320D55D9"/>
    <w:rsid w:val="32F44B7F"/>
    <w:rsid w:val="330864CC"/>
    <w:rsid w:val="33196756"/>
    <w:rsid w:val="33692594"/>
    <w:rsid w:val="340A6AC9"/>
    <w:rsid w:val="34FA421F"/>
    <w:rsid w:val="35012CF7"/>
    <w:rsid w:val="35785308"/>
    <w:rsid w:val="36A21D28"/>
    <w:rsid w:val="36D300C2"/>
    <w:rsid w:val="36D35CC1"/>
    <w:rsid w:val="37B00DCC"/>
    <w:rsid w:val="38190175"/>
    <w:rsid w:val="38653A79"/>
    <w:rsid w:val="38A77958"/>
    <w:rsid w:val="39A24859"/>
    <w:rsid w:val="39C5273D"/>
    <w:rsid w:val="3A045513"/>
    <w:rsid w:val="3AA049B3"/>
    <w:rsid w:val="3D461E72"/>
    <w:rsid w:val="3FFB4CC3"/>
    <w:rsid w:val="3FFD6C8D"/>
    <w:rsid w:val="408B6047"/>
    <w:rsid w:val="40CE4185"/>
    <w:rsid w:val="40E37C31"/>
    <w:rsid w:val="41AE2954"/>
    <w:rsid w:val="42497F67"/>
    <w:rsid w:val="45835E86"/>
    <w:rsid w:val="459C5020"/>
    <w:rsid w:val="45C06792"/>
    <w:rsid w:val="45F11042"/>
    <w:rsid w:val="4611409E"/>
    <w:rsid w:val="46290536"/>
    <w:rsid w:val="49937A10"/>
    <w:rsid w:val="4A205A52"/>
    <w:rsid w:val="4AD84534"/>
    <w:rsid w:val="4BAB416F"/>
    <w:rsid w:val="4BE1263B"/>
    <w:rsid w:val="4C8D4FB7"/>
    <w:rsid w:val="4CC539B6"/>
    <w:rsid w:val="4D04322D"/>
    <w:rsid w:val="4DF20550"/>
    <w:rsid w:val="4E9C58C3"/>
    <w:rsid w:val="4F0D68E8"/>
    <w:rsid w:val="4F506DD9"/>
    <w:rsid w:val="4F831B8C"/>
    <w:rsid w:val="4FDA2B47"/>
    <w:rsid w:val="51CC4711"/>
    <w:rsid w:val="52223121"/>
    <w:rsid w:val="52E535BC"/>
    <w:rsid w:val="5413682C"/>
    <w:rsid w:val="54E3249D"/>
    <w:rsid w:val="555425BD"/>
    <w:rsid w:val="555812DF"/>
    <w:rsid w:val="561A5A4B"/>
    <w:rsid w:val="56202730"/>
    <w:rsid w:val="58364B37"/>
    <w:rsid w:val="5A4D0E33"/>
    <w:rsid w:val="5ABB1CF5"/>
    <w:rsid w:val="5AEC7E71"/>
    <w:rsid w:val="5AED53D6"/>
    <w:rsid w:val="5BFC06DD"/>
    <w:rsid w:val="5C2A6C04"/>
    <w:rsid w:val="5CC52489"/>
    <w:rsid w:val="5D485783"/>
    <w:rsid w:val="5E094171"/>
    <w:rsid w:val="603D2829"/>
    <w:rsid w:val="60BD3BA3"/>
    <w:rsid w:val="614918DA"/>
    <w:rsid w:val="61811074"/>
    <w:rsid w:val="6194698D"/>
    <w:rsid w:val="61A050E2"/>
    <w:rsid w:val="62514EEA"/>
    <w:rsid w:val="63710B31"/>
    <w:rsid w:val="639312EF"/>
    <w:rsid w:val="640B15CF"/>
    <w:rsid w:val="65E120E1"/>
    <w:rsid w:val="66346E91"/>
    <w:rsid w:val="663C3E35"/>
    <w:rsid w:val="674E6FAC"/>
    <w:rsid w:val="67644579"/>
    <w:rsid w:val="676525E2"/>
    <w:rsid w:val="67DF5CA1"/>
    <w:rsid w:val="67F402BD"/>
    <w:rsid w:val="68223F8E"/>
    <w:rsid w:val="68AA66DB"/>
    <w:rsid w:val="68BB5E09"/>
    <w:rsid w:val="68C512B3"/>
    <w:rsid w:val="6A217AC9"/>
    <w:rsid w:val="6A6F40EB"/>
    <w:rsid w:val="6AF73096"/>
    <w:rsid w:val="6B560E7C"/>
    <w:rsid w:val="6BBC7A09"/>
    <w:rsid w:val="6C642C03"/>
    <w:rsid w:val="6CDD632E"/>
    <w:rsid w:val="6DF053C6"/>
    <w:rsid w:val="6DF746A2"/>
    <w:rsid w:val="6E2C51D0"/>
    <w:rsid w:val="6E3E0B27"/>
    <w:rsid w:val="6E615F63"/>
    <w:rsid w:val="6EBA7973"/>
    <w:rsid w:val="6F6A2F6E"/>
    <w:rsid w:val="70587444"/>
    <w:rsid w:val="706C2EEF"/>
    <w:rsid w:val="709E3CCE"/>
    <w:rsid w:val="72165809"/>
    <w:rsid w:val="736425A4"/>
    <w:rsid w:val="73FA4412"/>
    <w:rsid w:val="74237D69"/>
    <w:rsid w:val="74761DC9"/>
    <w:rsid w:val="74934249"/>
    <w:rsid w:val="763F797E"/>
    <w:rsid w:val="778C3E77"/>
    <w:rsid w:val="781E0F73"/>
    <w:rsid w:val="78880AE2"/>
    <w:rsid w:val="788B1E77"/>
    <w:rsid w:val="7A345394"/>
    <w:rsid w:val="7A664BB4"/>
    <w:rsid w:val="7BA14395"/>
    <w:rsid w:val="7BCD518A"/>
    <w:rsid w:val="7C6D24C9"/>
    <w:rsid w:val="7CA831B7"/>
    <w:rsid w:val="7CD11C24"/>
    <w:rsid w:val="7D257014"/>
    <w:rsid w:val="7E5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4"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oc 7"/>
    <w:basedOn w:val="1"/>
    <w:next w:val="1"/>
    <w:qFormat/>
    <w:uiPriority w:val="4"/>
    <w:pPr>
      <w:ind w:left="2520"/>
    </w:pPr>
    <w:rPr>
      <w:rFonts w:ascii="Times New Roman" w:hAnsi="Times New Roman"/>
      <w:kern w:val="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文昌市（文城镇）</Company>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2024-02-06T02:47:00Z</dcterms:created>
  <dc:creator>book407</dc:creator>
  <cp:lastModifiedBy>WPS_449043479</cp:lastModifiedBy>
  <cp:lastPrinted>2024-04-24T01:16:00Z</cp:lastPrinted>
  <dcterms:modified xsi:type="dcterms:W3CDTF">2024-05-16T00:39:03Z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5C9872036C0346C1B0247E2264B026E0_13</vt:lpwstr>
  </property>
</Properties>
</file>